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5F1" w:rsidRPr="00C048ED" w:rsidRDefault="000F08F3" w:rsidP="000F08F3">
      <w:pPr>
        <w:pStyle w:val="Testonormale"/>
        <w:ind w:left="2268"/>
        <w:rPr>
          <w:rFonts w:ascii="Arial" w:hAnsi="Arial" w:cs="Arial"/>
          <w:b/>
          <w:i/>
          <w:u w:val="single"/>
        </w:rPr>
      </w:pPr>
      <w:r w:rsidRPr="000F08F3">
        <w:rPr>
          <w:rFonts w:ascii="Arial" w:hAnsi="Arial" w:cs="Arial"/>
          <w:b/>
          <w:i/>
          <w:noProof/>
          <w:u w:val="single"/>
        </w:rPr>
        <mc:AlternateContent>
          <mc:Choice Requires="wps">
            <w:drawing>
              <wp:anchor distT="91440" distB="91440" distL="114300" distR="114300" simplePos="0" relativeHeight="253099008" behindDoc="0" locked="0" layoutInCell="0" allowOverlap="1" wp14:editId="2158637A">
                <wp:simplePos x="0" y="0"/>
                <wp:positionH relativeFrom="page">
                  <wp:posOffset>161925</wp:posOffset>
                </wp:positionH>
                <wp:positionV relativeFrom="margin">
                  <wp:posOffset>-918210</wp:posOffset>
                </wp:positionV>
                <wp:extent cx="1876425" cy="10382250"/>
                <wp:effectExtent l="38100" t="38100" r="104775" b="95250"/>
                <wp:wrapSquare wrapText="bothSides"/>
                <wp:docPr id="699" name="Rettangolo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76425" cy="10382250"/>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rsidR="00A16BCD" w:rsidRDefault="00A16BCD" w:rsidP="000F08F3">
                            <w:pPr>
                              <w:rPr>
                                <w:color w:val="FFFFFF" w:themeColor="background1"/>
                                <w:sz w:val="18"/>
                                <w:szCs w:val="18"/>
                              </w:rPr>
                            </w:pP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ttangolo 397" o:spid="_x0000_s1026" style="position:absolute;left:0;text-align:left;margin-left:12.75pt;margin-top:-72.3pt;width:147.75pt;height:817.5pt;flip:x;z-index:253099008;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" o:allowincell="f" fillcolor="#4f81bd" stroked="f" strokeweight="1.5pt">
                <v:shadow on="t" color="black" opacity="26214f" origin="-.5,-.5" offset=".74836mm,.74836mm"/>
                <v:textbox inset="21.6pt,21.6pt,21.6pt,21.6pt">
                  <w:txbxContent>
                    <w:p w:rsidR="00A16BCD" w:rsidRDefault="00A16BCD" w:rsidP="000F08F3">
                      <w:pPr>
                        <w:rPr>
                          <w:color w:val="FFFFFF" w:themeColor="background1"/>
                          <w:sz w:val="18"/>
                          <w:szCs w:val="18"/>
                        </w:rPr>
                      </w:pPr>
                    </w:p>
                  </w:txbxContent>
                </v:textbox>
                <w10:wrap type="square" anchorx="page" anchory="margin"/>
              </v:rect>
            </w:pict>
          </mc:Fallback>
        </mc:AlternateContent>
      </w:r>
      <w:r w:rsidR="00C37750">
        <w:rPr>
          <w:rFonts w:ascii="Arial" w:hAnsi="Arial" w:cs="Arial"/>
          <w:noProof/>
        </w:rPr>
        <w:drawing>
          <wp:inline distT="0" distB="0" distL="0" distR="0" wp14:anchorId="54E25FBF" wp14:editId="0B801807">
            <wp:extent cx="3838575" cy="1110052"/>
            <wp:effectExtent l="0" t="0" r="0" b="0"/>
            <wp:docPr id="1" name="Immagine 1" descr="Descrizione: C:\Users\RanieriB\AppData\Local\Microsoft\Windows\Temporary Internet Files\Content.Outlook\617CWP57\A04_ANCE NAZ_PO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escrizione: C:\Users\RanieriB\AppData\Local\Microsoft\Windows\Temporary Internet Files\Content.Outlook\617CWP57\A04_ANCE NAZ_POS (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48785" cy="1113005"/>
                    </a:xfrm>
                    <a:prstGeom prst="rect">
                      <a:avLst/>
                    </a:prstGeom>
                    <a:noFill/>
                    <a:ln>
                      <a:noFill/>
                    </a:ln>
                  </pic:spPr>
                </pic:pic>
              </a:graphicData>
            </a:graphic>
          </wp:inline>
        </w:drawing>
      </w:r>
    </w:p>
    <w:p w:rsidR="005935F1" w:rsidRPr="00C048ED" w:rsidRDefault="005935F1" w:rsidP="000F08F3">
      <w:pPr>
        <w:tabs>
          <w:tab w:val="left" w:pos="2055"/>
        </w:tabs>
        <w:spacing w:after="120"/>
        <w:ind w:left="2268"/>
        <w:rPr>
          <w:rFonts w:ascii="Arial" w:hAnsi="Arial" w:cs="Arial"/>
          <w:b/>
          <w:sz w:val="24"/>
          <w:szCs w:val="24"/>
        </w:rPr>
      </w:pPr>
    </w:p>
    <w:p w:rsidR="005935F1" w:rsidRPr="00C048ED" w:rsidRDefault="005935F1" w:rsidP="000F08F3">
      <w:pPr>
        <w:tabs>
          <w:tab w:val="left" w:pos="2055"/>
        </w:tabs>
        <w:spacing w:after="120"/>
        <w:ind w:left="2268"/>
        <w:rPr>
          <w:rFonts w:ascii="Arial" w:hAnsi="Arial" w:cs="Arial"/>
          <w:b/>
          <w:sz w:val="24"/>
          <w:szCs w:val="24"/>
        </w:rPr>
      </w:pPr>
    </w:p>
    <w:p w:rsidR="005935F1" w:rsidRPr="00C048ED" w:rsidRDefault="005935F1" w:rsidP="000F08F3">
      <w:pPr>
        <w:tabs>
          <w:tab w:val="left" w:pos="2055"/>
        </w:tabs>
        <w:spacing w:after="120"/>
        <w:ind w:left="2268"/>
        <w:rPr>
          <w:rFonts w:ascii="Arial" w:hAnsi="Arial" w:cs="Arial"/>
          <w:b/>
          <w:sz w:val="24"/>
          <w:szCs w:val="24"/>
        </w:rPr>
      </w:pPr>
    </w:p>
    <w:p w:rsidR="005935F1" w:rsidRPr="00C048ED" w:rsidRDefault="005935F1" w:rsidP="000F08F3">
      <w:pPr>
        <w:tabs>
          <w:tab w:val="left" w:pos="2055"/>
        </w:tabs>
        <w:spacing w:after="120"/>
        <w:ind w:left="2268"/>
        <w:rPr>
          <w:rFonts w:ascii="Arial" w:hAnsi="Arial" w:cs="Arial"/>
          <w:b/>
          <w:sz w:val="24"/>
          <w:szCs w:val="24"/>
        </w:rPr>
      </w:pPr>
    </w:p>
    <w:p w:rsidR="005935F1" w:rsidRPr="00C048ED" w:rsidRDefault="005935F1" w:rsidP="000F08F3">
      <w:pPr>
        <w:tabs>
          <w:tab w:val="left" w:pos="2055"/>
        </w:tabs>
        <w:spacing w:after="120"/>
        <w:ind w:left="2268"/>
        <w:rPr>
          <w:rFonts w:ascii="Arial" w:hAnsi="Arial" w:cs="Arial"/>
          <w:b/>
          <w:sz w:val="24"/>
          <w:szCs w:val="24"/>
        </w:rPr>
      </w:pPr>
    </w:p>
    <w:p w:rsidR="005935F1" w:rsidRPr="00C048ED" w:rsidRDefault="005935F1" w:rsidP="000F08F3">
      <w:pPr>
        <w:tabs>
          <w:tab w:val="left" w:pos="2055"/>
        </w:tabs>
        <w:spacing w:after="120"/>
        <w:ind w:left="2268"/>
        <w:rPr>
          <w:rFonts w:ascii="Arial" w:hAnsi="Arial" w:cs="Arial"/>
          <w:b/>
          <w:sz w:val="24"/>
          <w:szCs w:val="24"/>
        </w:rPr>
      </w:pPr>
    </w:p>
    <w:p w:rsidR="00993BAB" w:rsidRPr="00DA0B61" w:rsidRDefault="000F08F3" w:rsidP="000F08F3">
      <w:pPr>
        <w:spacing w:after="120"/>
        <w:ind w:left="2268"/>
        <w:rPr>
          <w:rFonts w:ascii="Arial" w:hAnsi="Arial" w:cs="Arial"/>
          <w:b/>
          <w:bCs/>
          <w:color w:val="000080"/>
          <w:sz w:val="48"/>
          <w:szCs w:val="40"/>
        </w:rPr>
      </w:pPr>
      <w:r w:rsidRPr="00DA0B61">
        <w:rPr>
          <w:rFonts w:ascii="Arial" w:hAnsi="Arial" w:cs="Arial"/>
          <w:b/>
          <w:bCs/>
          <w:color w:val="000080"/>
          <w:sz w:val="48"/>
          <w:szCs w:val="40"/>
        </w:rPr>
        <w:t>REPORT</w:t>
      </w:r>
    </w:p>
    <w:p w:rsidR="005935F1" w:rsidRPr="00886133" w:rsidRDefault="000F08F3" w:rsidP="000F08F3">
      <w:pPr>
        <w:spacing w:after="120"/>
        <w:ind w:left="2268"/>
        <w:rPr>
          <w:rFonts w:ascii="Arial" w:hAnsi="Arial" w:cs="Arial"/>
          <w:b/>
          <w:bCs/>
          <w:color w:val="000080"/>
          <w:sz w:val="40"/>
          <w:szCs w:val="40"/>
        </w:rPr>
      </w:pPr>
      <w:r w:rsidRPr="00886133">
        <w:rPr>
          <w:rFonts w:ascii="Arial" w:hAnsi="Arial" w:cs="Arial"/>
          <w:b/>
          <w:bCs/>
          <w:color w:val="000080"/>
          <w:sz w:val="40"/>
          <w:szCs w:val="40"/>
        </w:rPr>
        <w:t>LE COSTRUZIONI</w:t>
      </w:r>
      <w:r w:rsidR="00F2461D" w:rsidRPr="00886133">
        <w:rPr>
          <w:rFonts w:ascii="Arial" w:hAnsi="Arial" w:cs="Arial"/>
          <w:b/>
          <w:bCs/>
          <w:color w:val="000080"/>
          <w:sz w:val="40"/>
          <w:szCs w:val="40"/>
        </w:rPr>
        <w:t xml:space="preserve"> IN </w:t>
      </w:r>
      <w:r w:rsidR="00FF649A">
        <w:rPr>
          <w:rFonts w:ascii="Arial" w:hAnsi="Arial" w:cs="Arial"/>
          <w:b/>
          <w:bCs/>
          <w:color w:val="000080"/>
          <w:sz w:val="40"/>
          <w:szCs w:val="40"/>
        </w:rPr>
        <w:t>EMILIA-ROMAGNA</w:t>
      </w:r>
    </w:p>
    <w:p w:rsidR="005935F1" w:rsidRPr="00A02B19" w:rsidRDefault="005935F1" w:rsidP="000F08F3">
      <w:pPr>
        <w:tabs>
          <w:tab w:val="left" w:pos="2055"/>
        </w:tabs>
        <w:spacing w:after="120"/>
        <w:ind w:left="2268"/>
        <w:rPr>
          <w:rFonts w:ascii="Arial" w:hAnsi="Arial" w:cs="Arial"/>
          <w:b/>
          <w:bCs/>
          <w:color w:val="000080"/>
          <w:sz w:val="32"/>
          <w:szCs w:val="32"/>
        </w:rPr>
      </w:pPr>
    </w:p>
    <w:p w:rsidR="005935F1" w:rsidRPr="00A02B19" w:rsidRDefault="005935F1" w:rsidP="000F08F3">
      <w:pPr>
        <w:tabs>
          <w:tab w:val="left" w:pos="2055"/>
        </w:tabs>
        <w:spacing w:after="120"/>
        <w:ind w:left="2268"/>
        <w:rPr>
          <w:rFonts w:ascii="Arial" w:hAnsi="Arial" w:cs="Arial"/>
          <w:b/>
          <w:color w:val="000080"/>
          <w:sz w:val="24"/>
          <w:szCs w:val="24"/>
        </w:rPr>
      </w:pPr>
    </w:p>
    <w:p w:rsidR="005935F1" w:rsidRPr="00333D9A" w:rsidRDefault="005935F1" w:rsidP="000F08F3">
      <w:pPr>
        <w:ind w:left="2268"/>
        <w:rPr>
          <w:rFonts w:ascii="Arial" w:hAnsi="Arial" w:cs="Arial"/>
          <w:b/>
          <w:color w:val="000080"/>
          <w:sz w:val="24"/>
        </w:rPr>
      </w:pPr>
      <w:r w:rsidRPr="00333D9A">
        <w:rPr>
          <w:rFonts w:ascii="Arial" w:hAnsi="Arial" w:cs="Arial"/>
          <w:b/>
          <w:color w:val="000080"/>
          <w:sz w:val="24"/>
        </w:rPr>
        <w:t>a cura della Direzione Affari Economici e Centro Studi</w:t>
      </w:r>
    </w:p>
    <w:p w:rsidR="005935F1" w:rsidRPr="00A02B19" w:rsidRDefault="005935F1" w:rsidP="000F08F3">
      <w:pPr>
        <w:tabs>
          <w:tab w:val="left" w:pos="2055"/>
        </w:tabs>
        <w:spacing w:after="120"/>
        <w:ind w:left="2268"/>
        <w:rPr>
          <w:rFonts w:ascii="Arial" w:hAnsi="Arial" w:cs="Arial"/>
          <w:b/>
          <w:color w:val="000080"/>
          <w:sz w:val="24"/>
          <w:szCs w:val="24"/>
        </w:rPr>
      </w:pPr>
    </w:p>
    <w:p w:rsidR="005935F1" w:rsidRPr="00A02B19" w:rsidRDefault="005935F1" w:rsidP="000F08F3">
      <w:pPr>
        <w:tabs>
          <w:tab w:val="left" w:pos="2055"/>
        </w:tabs>
        <w:spacing w:after="120"/>
        <w:ind w:left="2268"/>
        <w:rPr>
          <w:rFonts w:ascii="Arial" w:hAnsi="Arial" w:cs="Arial"/>
          <w:b/>
          <w:color w:val="000080"/>
          <w:sz w:val="24"/>
          <w:szCs w:val="24"/>
        </w:rPr>
      </w:pPr>
    </w:p>
    <w:p w:rsidR="005935F1" w:rsidRPr="00A02B19" w:rsidRDefault="005935F1" w:rsidP="000F08F3">
      <w:pPr>
        <w:tabs>
          <w:tab w:val="left" w:pos="2055"/>
        </w:tabs>
        <w:spacing w:after="120"/>
        <w:ind w:left="2268"/>
        <w:rPr>
          <w:rFonts w:ascii="Arial" w:hAnsi="Arial" w:cs="Arial"/>
          <w:b/>
          <w:color w:val="000080"/>
          <w:sz w:val="24"/>
          <w:szCs w:val="24"/>
        </w:rPr>
      </w:pPr>
    </w:p>
    <w:p w:rsidR="005935F1" w:rsidRPr="00A02B19" w:rsidRDefault="005935F1" w:rsidP="000F08F3">
      <w:pPr>
        <w:tabs>
          <w:tab w:val="left" w:pos="2055"/>
        </w:tabs>
        <w:spacing w:after="120"/>
        <w:ind w:left="2268"/>
        <w:rPr>
          <w:rFonts w:ascii="Arial" w:hAnsi="Arial" w:cs="Arial"/>
          <w:b/>
          <w:color w:val="000080"/>
          <w:sz w:val="24"/>
          <w:szCs w:val="24"/>
        </w:rPr>
      </w:pPr>
    </w:p>
    <w:p w:rsidR="00FF013E" w:rsidRPr="00A02B19" w:rsidRDefault="00FF013E" w:rsidP="000F08F3">
      <w:pPr>
        <w:tabs>
          <w:tab w:val="left" w:pos="2055"/>
        </w:tabs>
        <w:spacing w:after="120"/>
        <w:ind w:left="2268"/>
        <w:rPr>
          <w:rFonts w:ascii="Arial" w:hAnsi="Arial" w:cs="Arial"/>
          <w:b/>
          <w:color w:val="000080"/>
          <w:sz w:val="24"/>
          <w:szCs w:val="24"/>
        </w:rPr>
      </w:pPr>
    </w:p>
    <w:p w:rsidR="005935F1" w:rsidRPr="00A02B19" w:rsidRDefault="005935F1" w:rsidP="000F08F3">
      <w:pPr>
        <w:tabs>
          <w:tab w:val="left" w:pos="2055"/>
        </w:tabs>
        <w:spacing w:after="120"/>
        <w:ind w:left="2268"/>
        <w:rPr>
          <w:rFonts w:ascii="Arial" w:hAnsi="Arial" w:cs="Arial"/>
          <w:b/>
          <w:color w:val="000080"/>
          <w:sz w:val="24"/>
          <w:szCs w:val="24"/>
        </w:rPr>
      </w:pPr>
    </w:p>
    <w:p w:rsidR="00A15D52" w:rsidRPr="00A02B19" w:rsidRDefault="00A15D52" w:rsidP="000F08F3">
      <w:pPr>
        <w:tabs>
          <w:tab w:val="left" w:pos="2055"/>
        </w:tabs>
        <w:spacing w:after="120"/>
        <w:ind w:left="2268"/>
        <w:rPr>
          <w:rFonts w:ascii="Arial" w:hAnsi="Arial" w:cs="Arial"/>
          <w:b/>
          <w:color w:val="000080"/>
          <w:sz w:val="24"/>
          <w:szCs w:val="24"/>
        </w:rPr>
      </w:pPr>
    </w:p>
    <w:p w:rsidR="00A15D52" w:rsidRDefault="00A15D52" w:rsidP="000F08F3">
      <w:pPr>
        <w:tabs>
          <w:tab w:val="left" w:pos="2055"/>
        </w:tabs>
        <w:spacing w:after="120"/>
        <w:ind w:left="2268"/>
        <w:rPr>
          <w:rFonts w:ascii="Arial" w:hAnsi="Arial" w:cs="Arial"/>
          <w:b/>
          <w:color w:val="000080"/>
          <w:sz w:val="24"/>
          <w:szCs w:val="24"/>
        </w:rPr>
      </w:pPr>
    </w:p>
    <w:p w:rsidR="000F08F3" w:rsidRDefault="000F08F3" w:rsidP="000F08F3">
      <w:pPr>
        <w:tabs>
          <w:tab w:val="left" w:pos="2055"/>
        </w:tabs>
        <w:spacing w:after="120"/>
        <w:ind w:left="2268"/>
        <w:rPr>
          <w:rFonts w:ascii="Arial" w:hAnsi="Arial" w:cs="Arial"/>
          <w:b/>
          <w:color w:val="000080"/>
          <w:sz w:val="24"/>
          <w:szCs w:val="24"/>
        </w:rPr>
      </w:pPr>
    </w:p>
    <w:p w:rsidR="000F08F3" w:rsidRPr="00A02B19" w:rsidRDefault="000F08F3" w:rsidP="000F08F3">
      <w:pPr>
        <w:tabs>
          <w:tab w:val="left" w:pos="2055"/>
        </w:tabs>
        <w:spacing w:after="120"/>
        <w:ind w:left="2268"/>
        <w:rPr>
          <w:rFonts w:ascii="Arial" w:hAnsi="Arial" w:cs="Arial"/>
          <w:b/>
          <w:color w:val="000080"/>
          <w:sz w:val="24"/>
          <w:szCs w:val="24"/>
        </w:rPr>
      </w:pPr>
    </w:p>
    <w:p w:rsidR="005935F1" w:rsidRPr="00A02B19" w:rsidRDefault="005935F1" w:rsidP="000F08F3">
      <w:pPr>
        <w:tabs>
          <w:tab w:val="left" w:pos="2055"/>
        </w:tabs>
        <w:spacing w:after="120"/>
        <w:ind w:left="2268"/>
        <w:rPr>
          <w:rFonts w:ascii="Arial" w:hAnsi="Arial" w:cs="Arial"/>
          <w:b/>
          <w:color w:val="000080"/>
          <w:sz w:val="24"/>
          <w:szCs w:val="24"/>
        </w:rPr>
      </w:pPr>
    </w:p>
    <w:p w:rsidR="005935F1" w:rsidRPr="00A02B19" w:rsidRDefault="005935F1" w:rsidP="000F08F3">
      <w:pPr>
        <w:tabs>
          <w:tab w:val="left" w:pos="2055"/>
        </w:tabs>
        <w:spacing w:after="120"/>
        <w:ind w:left="2268"/>
        <w:rPr>
          <w:rFonts w:ascii="Arial" w:hAnsi="Arial" w:cs="Arial"/>
          <w:b/>
          <w:color w:val="000080"/>
          <w:sz w:val="24"/>
          <w:szCs w:val="24"/>
        </w:rPr>
      </w:pPr>
    </w:p>
    <w:p w:rsidR="005935F1" w:rsidRPr="000F08F3" w:rsidRDefault="00FA1E64" w:rsidP="000F08F3">
      <w:pPr>
        <w:tabs>
          <w:tab w:val="left" w:pos="2055"/>
        </w:tabs>
        <w:spacing w:after="120"/>
        <w:ind w:left="2268"/>
        <w:rPr>
          <w:rFonts w:ascii="Arial" w:hAnsi="Arial" w:cs="Arial"/>
          <w:b/>
          <w:smallCaps/>
          <w:color w:val="000080"/>
          <w:sz w:val="24"/>
          <w:szCs w:val="24"/>
        </w:rPr>
      </w:pPr>
      <w:r>
        <w:rPr>
          <w:rFonts w:ascii="Arial" w:hAnsi="Arial" w:cs="Arial"/>
          <w:b/>
          <w:smallCaps/>
          <w:color w:val="000080"/>
          <w:sz w:val="24"/>
          <w:szCs w:val="24"/>
        </w:rPr>
        <w:t>5</w:t>
      </w:r>
      <w:r w:rsidR="00BB1627">
        <w:rPr>
          <w:rFonts w:ascii="Arial" w:hAnsi="Arial" w:cs="Arial"/>
          <w:b/>
          <w:smallCaps/>
          <w:color w:val="000080"/>
          <w:sz w:val="24"/>
          <w:szCs w:val="24"/>
        </w:rPr>
        <w:t xml:space="preserve"> Giugno</w:t>
      </w:r>
      <w:r w:rsidR="000F08F3" w:rsidRPr="000F08F3">
        <w:rPr>
          <w:rFonts w:ascii="Arial" w:hAnsi="Arial" w:cs="Arial"/>
          <w:b/>
          <w:smallCaps/>
          <w:color w:val="000080"/>
          <w:sz w:val="24"/>
          <w:szCs w:val="24"/>
        </w:rPr>
        <w:t xml:space="preserve"> 2015</w:t>
      </w:r>
    </w:p>
    <w:p w:rsidR="005935F1" w:rsidRPr="00C048ED" w:rsidRDefault="005935F1" w:rsidP="000F08F3">
      <w:pPr>
        <w:tabs>
          <w:tab w:val="left" w:pos="2055"/>
        </w:tabs>
        <w:spacing w:after="120"/>
        <w:ind w:left="2268"/>
        <w:rPr>
          <w:rFonts w:ascii="Arial" w:hAnsi="Arial" w:cs="Arial"/>
          <w:i/>
          <w:sz w:val="24"/>
          <w:szCs w:val="24"/>
        </w:rPr>
      </w:pPr>
    </w:p>
    <w:p w:rsidR="005935F1" w:rsidRPr="00C048ED" w:rsidRDefault="005935F1" w:rsidP="000F08F3">
      <w:pPr>
        <w:suppressAutoHyphens/>
        <w:autoSpaceDE w:val="0"/>
        <w:autoSpaceDN w:val="0"/>
        <w:adjustRightInd w:val="0"/>
        <w:ind w:left="2268"/>
        <w:jc w:val="both"/>
        <w:rPr>
          <w:rFonts w:ascii="Arial" w:hAnsi="Arial" w:cs="Arial"/>
          <w:i/>
          <w:sz w:val="24"/>
          <w:szCs w:val="24"/>
        </w:rPr>
      </w:pPr>
      <w:r w:rsidRPr="00C048ED">
        <w:rPr>
          <w:rFonts w:ascii="Arial" w:hAnsi="Arial" w:cs="Arial"/>
          <w:i/>
          <w:sz w:val="24"/>
          <w:szCs w:val="24"/>
        </w:rPr>
        <w:br w:type="page"/>
      </w:r>
    </w:p>
    <w:p w:rsidR="00EB1C26" w:rsidRDefault="00EB1C26">
      <w:pPr>
        <w:rPr>
          <w:rFonts w:ascii="Arial" w:hAnsi="Arial" w:cs="Arial"/>
          <w:i/>
          <w:sz w:val="24"/>
          <w:szCs w:val="24"/>
        </w:rPr>
      </w:pPr>
      <w:r>
        <w:rPr>
          <w:rFonts w:ascii="Arial" w:hAnsi="Arial" w:cs="Arial"/>
          <w:i/>
          <w:sz w:val="24"/>
          <w:szCs w:val="24"/>
        </w:rPr>
        <w:lastRenderedPageBreak/>
        <w:br w:type="page"/>
      </w:r>
    </w:p>
    <w:p w:rsidR="005935F1" w:rsidRPr="00C048ED" w:rsidRDefault="005935F1">
      <w:pPr>
        <w:suppressAutoHyphens/>
        <w:autoSpaceDE w:val="0"/>
        <w:autoSpaceDN w:val="0"/>
        <w:adjustRightInd w:val="0"/>
        <w:jc w:val="both"/>
        <w:rPr>
          <w:rFonts w:ascii="Arial" w:hAnsi="Arial" w:cs="Arial"/>
          <w:i/>
          <w:sz w:val="24"/>
          <w:szCs w:val="24"/>
        </w:rPr>
      </w:pPr>
    </w:p>
    <w:p w:rsidR="00993BAB" w:rsidRDefault="00993BAB">
      <w:pPr>
        <w:rPr>
          <w:rFonts w:ascii="Arial" w:hAnsi="Arial" w:cs="Arial"/>
          <w:b/>
          <w:color w:val="000080"/>
          <w:sz w:val="28"/>
          <w:szCs w:val="28"/>
        </w:rPr>
      </w:pPr>
      <w:bookmarkStart w:id="0" w:name="_Toc40002441"/>
      <w:bookmarkStart w:id="1" w:name="_Toc40066168"/>
      <w:bookmarkStart w:id="2" w:name="_Toc40169393"/>
    </w:p>
    <w:p w:rsidR="00993BAB" w:rsidRDefault="00993BAB">
      <w:pPr>
        <w:rPr>
          <w:rFonts w:ascii="Arial" w:hAnsi="Arial" w:cs="Arial"/>
          <w:b/>
          <w:color w:val="000080"/>
          <w:sz w:val="28"/>
          <w:szCs w:val="28"/>
        </w:rPr>
      </w:pPr>
    </w:p>
    <w:p w:rsidR="00993BAB" w:rsidRDefault="00993BAB">
      <w:pPr>
        <w:rPr>
          <w:rFonts w:ascii="Arial" w:hAnsi="Arial" w:cs="Arial"/>
          <w:b/>
          <w:color w:val="000080"/>
          <w:sz w:val="28"/>
          <w:szCs w:val="28"/>
        </w:rPr>
      </w:pPr>
    </w:p>
    <w:p w:rsidR="00993BAB" w:rsidRDefault="00993BAB">
      <w:pPr>
        <w:rPr>
          <w:rFonts w:ascii="Arial" w:hAnsi="Arial" w:cs="Arial"/>
          <w:b/>
          <w:color w:val="000080"/>
          <w:sz w:val="28"/>
          <w:szCs w:val="28"/>
        </w:rPr>
      </w:pPr>
    </w:p>
    <w:p w:rsidR="005935F1" w:rsidRPr="00C5217B" w:rsidRDefault="005935F1">
      <w:pPr>
        <w:rPr>
          <w:rFonts w:ascii="Arial" w:hAnsi="Arial" w:cs="Arial"/>
          <w:b/>
          <w:color w:val="000080"/>
          <w:sz w:val="28"/>
          <w:szCs w:val="28"/>
        </w:rPr>
      </w:pPr>
      <w:r w:rsidRPr="00C5217B">
        <w:rPr>
          <w:rFonts w:ascii="Arial" w:hAnsi="Arial" w:cs="Arial"/>
          <w:b/>
          <w:color w:val="000080"/>
          <w:sz w:val="28"/>
          <w:szCs w:val="28"/>
        </w:rPr>
        <w:t xml:space="preserve">I N D I C E </w:t>
      </w:r>
    </w:p>
    <w:sdt>
      <w:sdtPr>
        <w:rPr>
          <w:rFonts w:ascii="Times New Roman" w:eastAsia="Times New Roman" w:hAnsi="Times New Roman" w:cs="Times New Roman"/>
          <w:b w:val="0"/>
          <w:bCs w:val="0"/>
          <w:smallCaps w:val="0"/>
          <w:color w:val="auto"/>
          <w:sz w:val="20"/>
          <w:szCs w:val="20"/>
        </w:rPr>
        <w:id w:val="-1971584040"/>
        <w:docPartObj>
          <w:docPartGallery w:val="Table of Contents"/>
          <w:docPartUnique/>
        </w:docPartObj>
      </w:sdtPr>
      <w:sdtEndPr>
        <w:rPr>
          <w:rFonts w:ascii="Arial" w:hAnsi="Arial" w:cs="Arial"/>
          <w:sz w:val="22"/>
          <w:szCs w:val="22"/>
        </w:rPr>
      </w:sdtEndPr>
      <w:sdtContent>
        <w:p w:rsidR="00025FFD" w:rsidRDefault="00025FFD" w:rsidP="00A93677">
          <w:pPr>
            <w:pStyle w:val="Titolosommario"/>
          </w:pPr>
        </w:p>
        <w:p w:rsidR="00B36BF7" w:rsidRPr="00B36BF7" w:rsidRDefault="00B36BF7" w:rsidP="00B36BF7"/>
        <w:p w:rsidR="007A1A91" w:rsidRPr="007A1A91" w:rsidRDefault="00025FFD" w:rsidP="007A1A91">
          <w:pPr>
            <w:pStyle w:val="Sommario1"/>
            <w:spacing w:line="276" w:lineRule="auto"/>
            <w:rPr>
              <w:rFonts w:asciiTheme="minorHAnsi" w:eastAsiaTheme="minorEastAsia" w:hAnsiTheme="minorHAnsi" w:cstheme="minorBidi"/>
              <w:b w:val="0"/>
              <w:bCs w:val="0"/>
              <w:caps w:val="0"/>
              <w:snapToGrid/>
              <w:color w:val="auto"/>
              <w:sz w:val="22"/>
              <w:szCs w:val="22"/>
            </w:rPr>
          </w:pPr>
          <w:r w:rsidRPr="007A1A91">
            <w:rPr>
              <w:smallCaps/>
              <w:sz w:val="22"/>
              <w:szCs w:val="22"/>
            </w:rPr>
            <w:fldChar w:fldCharType="begin"/>
          </w:r>
          <w:r w:rsidRPr="007A1A91">
            <w:rPr>
              <w:smallCaps/>
              <w:sz w:val="22"/>
              <w:szCs w:val="22"/>
            </w:rPr>
            <w:instrText xml:space="preserve"> TOC \o "1-3" \h \z \u </w:instrText>
          </w:r>
          <w:r w:rsidRPr="007A1A91">
            <w:rPr>
              <w:smallCaps/>
              <w:sz w:val="22"/>
              <w:szCs w:val="22"/>
            </w:rPr>
            <w:fldChar w:fldCharType="separate"/>
          </w:r>
          <w:hyperlink w:anchor="_Toc421177340" w:history="1">
            <w:r w:rsidR="007A1A91" w:rsidRPr="007A1A91">
              <w:rPr>
                <w:rStyle w:val="Collegamentoipertestuale"/>
                <w:sz w:val="22"/>
                <w:szCs w:val="22"/>
              </w:rPr>
              <w:t>L’andamento dell’economia e del settore delle costruzioni</w:t>
            </w:r>
            <w:r w:rsidR="007A1A91" w:rsidRPr="007A1A91">
              <w:rPr>
                <w:webHidden/>
                <w:sz w:val="22"/>
                <w:szCs w:val="22"/>
              </w:rPr>
              <w:tab/>
            </w:r>
            <w:r w:rsidR="007A1A91" w:rsidRPr="007A1A91">
              <w:rPr>
                <w:webHidden/>
                <w:sz w:val="22"/>
                <w:szCs w:val="22"/>
              </w:rPr>
              <w:fldChar w:fldCharType="begin"/>
            </w:r>
            <w:r w:rsidR="007A1A91" w:rsidRPr="007A1A91">
              <w:rPr>
                <w:webHidden/>
                <w:sz w:val="22"/>
                <w:szCs w:val="22"/>
              </w:rPr>
              <w:instrText xml:space="preserve"> PAGEREF _Toc421177340 \h </w:instrText>
            </w:r>
            <w:r w:rsidR="007A1A91" w:rsidRPr="007A1A91">
              <w:rPr>
                <w:webHidden/>
                <w:sz w:val="22"/>
                <w:szCs w:val="22"/>
              </w:rPr>
            </w:r>
            <w:r w:rsidR="007A1A91" w:rsidRPr="007A1A91">
              <w:rPr>
                <w:webHidden/>
                <w:sz w:val="22"/>
                <w:szCs w:val="22"/>
              </w:rPr>
              <w:fldChar w:fldCharType="separate"/>
            </w:r>
            <w:r w:rsidR="00223993">
              <w:rPr>
                <w:webHidden/>
                <w:sz w:val="22"/>
                <w:szCs w:val="22"/>
              </w:rPr>
              <w:t>5</w:t>
            </w:r>
            <w:r w:rsidR="007A1A91" w:rsidRPr="007A1A91">
              <w:rPr>
                <w:webHidden/>
                <w:sz w:val="22"/>
                <w:szCs w:val="22"/>
              </w:rPr>
              <w:fldChar w:fldCharType="end"/>
            </w:r>
          </w:hyperlink>
        </w:p>
        <w:p w:rsidR="007A1A91" w:rsidRPr="007A1A91" w:rsidRDefault="005A5217" w:rsidP="007A1A91">
          <w:pPr>
            <w:pStyle w:val="Sommario1"/>
            <w:spacing w:line="276" w:lineRule="auto"/>
            <w:rPr>
              <w:rFonts w:asciiTheme="minorHAnsi" w:eastAsiaTheme="minorEastAsia" w:hAnsiTheme="minorHAnsi" w:cstheme="minorBidi"/>
              <w:b w:val="0"/>
              <w:bCs w:val="0"/>
              <w:caps w:val="0"/>
              <w:snapToGrid/>
              <w:color w:val="auto"/>
              <w:sz w:val="22"/>
              <w:szCs w:val="22"/>
            </w:rPr>
          </w:pPr>
          <w:hyperlink w:anchor="_Toc421177341" w:history="1">
            <w:r w:rsidR="007A1A91" w:rsidRPr="007A1A91">
              <w:rPr>
                <w:rStyle w:val="Collegamentoipertestuale"/>
                <w:sz w:val="22"/>
                <w:szCs w:val="22"/>
              </w:rPr>
              <w:t>L’occupazione</w:t>
            </w:r>
            <w:r w:rsidR="007A1A91" w:rsidRPr="007A1A91">
              <w:rPr>
                <w:webHidden/>
                <w:sz w:val="22"/>
                <w:szCs w:val="22"/>
              </w:rPr>
              <w:tab/>
            </w:r>
            <w:r w:rsidR="007A1A91" w:rsidRPr="007A1A91">
              <w:rPr>
                <w:webHidden/>
                <w:sz w:val="22"/>
                <w:szCs w:val="22"/>
              </w:rPr>
              <w:fldChar w:fldCharType="begin"/>
            </w:r>
            <w:r w:rsidR="007A1A91" w:rsidRPr="007A1A91">
              <w:rPr>
                <w:webHidden/>
                <w:sz w:val="22"/>
                <w:szCs w:val="22"/>
              </w:rPr>
              <w:instrText xml:space="preserve"> PAGEREF _Toc421177341 \h </w:instrText>
            </w:r>
            <w:r w:rsidR="007A1A91" w:rsidRPr="007A1A91">
              <w:rPr>
                <w:webHidden/>
                <w:sz w:val="22"/>
                <w:szCs w:val="22"/>
              </w:rPr>
            </w:r>
            <w:r w:rsidR="007A1A91" w:rsidRPr="007A1A91">
              <w:rPr>
                <w:webHidden/>
                <w:sz w:val="22"/>
                <w:szCs w:val="22"/>
              </w:rPr>
              <w:fldChar w:fldCharType="separate"/>
            </w:r>
            <w:r w:rsidR="00223993">
              <w:rPr>
                <w:webHidden/>
                <w:sz w:val="22"/>
                <w:szCs w:val="22"/>
              </w:rPr>
              <w:t>11</w:t>
            </w:r>
            <w:r w:rsidR="007A1A91" w:rsidRPr="007A1A91">
              <w:rPr>
                <w:webHidden/>
                <w:sz w:val="22"/>
                <w:szCs w:val="22"/>
              </w:rPr>
              <w:fldChar w:fldCharType="end"/>
            </w:r>
          </w:hyperlink>
        </w:p>
        <w:p w:rsidR="007A1A91" w:rsidRPr="007A1A91" w:rsidRDefault="005A5217" w:rsidP="007A1A91">
          <w:pPr>
            <w:pStyle w:val="Sommario1"/>
            <w:spacing w:line="276" w:lineRule="auto"/>
            <w:rPr>
              <w:rFonts w:asciiTheme="minorHAnsi" w:eastAsiaTheme="minorEastAsia" w:hAnsiTheme="minorHAnsi" w:cstheme="minorBidi"/>
              <w:b w:val="0"/>
              <w:bCs w:val="0"/>
              <w:caps w:val="0"/>
              <w:snapToGrid/>
              <w:color w:val="auto"/>
              <w:sz w:val="22"/>
              <w:szCs w:val="22"/>
            </w:rPr>
          </w:pPr>
          <w:hyperlink w:anchor="_Toc421177342" w:history="1">
            <w:r w:rsidR="007A1A91" w:rsidRPr="007A1A91">
              <w:rPr>
                <w:rStyle w:val="Collegamentoipertestuale"/>
                <w:sz w:val="22"/>
                <w:szCs w:val="22"/>
              </w:rPr>
              <w:t>Il mercato immobiliare residenziale</w:t>
            </w:r>
            <w:r w:rsidR="007A1A91" w:rsidRPr="007A1A91">
              <w:rPr>
                <w:webHidden/>
                <w:sz w:val="22"/>
                <w:szCs w:val="22"/>
              </w:rPr>
              <w:tab/>
            </w:r>
            <w:r w:rsidR="007A1A91" w:rsidRPr="007A1A91">
              <w:rPr>
                <w:webHidden/>
                <w:sz w:val="22"/>
                <w:szCs w:val="22"/>
              </w:rPr>
              <w:fldChar w:fldCharType="begin"/>
            </w:r>
            <w:r w:rsidR="007A1A91" w:rsidRPr="007A1A91">
              <w:rPr>
                <w:webHidden/>
                <w:sz w:val="22"/>
                <w:szCs w:val="22"/>
              </w:rPr>
              <w:instrText xml:space="preserve"> PAGEREF _Toc421177342 \h </w:instrText>
            </w:r>
            <w:r w:rsidR="007A1A91" w:rsidRPr="007A1A91">
              <w:rPr>
                <w:webHidden/>
                <w:sz w:val="22"/>
                <w:szCs w:val="22"/>
              </w:rPr>
            </w:r>
            <w:r w:rsidR="007A1A91" w:rsidRPr="007A1A91">
              <w:rPr>
                <w:webHidden/>
                <w:sz w:val="22"/>
                <w:szCs w:val="22"/>
              </w:rPr>
              <w:fldChar w:fldCharType="separate"/>
            </w:r>
            <w:r w:rsidR="00223993">
              <w:rPr>
                <w:webHidden/>
                <w:sz w:val="22"/>
                <w:szCs w:val="22"/>
              </w:rPr>
              <w:t>12</w:t>
            </w:r>
            <w:r w:rsidR="007A1A91" w:rsidRPr="007A1A91">
              <w:rPr>
                <w:webHidden/>
                <w:sz w:val="22"/>
                <w:szCs w:val="22"/>
              </w:rPr>
              <w:fldChar w:fldCharType="end"/>
            </w:r>
          </w:hyperlink>
        </w:p>
        <w:p w:rsidR="007A1A91" w:rsidRPr="007A1A91" w:rsidRDefault="005A5217" w:rsidP="007A1A91">
          <w:pPr>
            <w:pStyle w:val="Sommario1"/>
            <w:spacing w:line="276" w:lineRule="auto"/>
            <w:rPr>
              <w:rFonts w:asciiTheme="minorHAnsi" w:eastAsiaTheme="minorEastAsia" w:hAnsiTheme="minorHAnsi" w:cstheme="minorBidi"/>
              <w:b w:val="0"/>
              <w:bCs w:val="0"/>
              <w:caps w:val="0"/>
              <w:snapToGrid/>
              <w:color w:val="auto"/>
              <w:sz w:val="22"/>
              <w:szCs w:val="22"/>
            </w:rPr>
          </w:pPr>
          <w:hyperlink w:anchor="_Toc421177343" w:history="1">
            <w:r w:rsidR="007A1A91" w:rsidRPr="007A1A91">
              <w:rPr>
                <w:rStyle w:val="Collegamentoipertestuale"/>
                <w:sz w:val="22"/>
                <w:szCs w:val="22"/>
              </w:rPr>
              <w:t>Il mercato del credito</w:t>
            </w:r>
            <w:r w:rsidR="007A1A91" w:rsidRPr="007A1A91">
              <w:rPr>
                <w:webHidden/>
                <w:sz w:val="22"/>
                <w:szCs w:val="22"/>
              </w:rPr>
              <w:tab/>
            </w:r>
            <w:r w:rsidR="007A1A91" w:rsidRPr="007A1A91">
              <w:rPr>
                <w:webHidden/>
                <w:sz w:val="22"/>
                <w:szCs w:val="22"/>
              </w:rPr>
              <w:fldChar w:fldCharType="begin"/>
            </w:r>
            <w:r w:rsidR="007A1A91" w:rsidRPr="007A1A91">
              <w:rPr>
                <w:webHidden/>
                <w:sz w:val="22"/>
                <w:szCs w:val="22"/>
              </w:rPr>
              <w:instrText xml:space="preserve"> PAGEREF _Toc421177343 \h </w:instrText>
            </w:r>
            <w:r w:rsidR="007A1A91" w:rsidRPr="007A1A91">
              <w:rPr>
                <w:webHidden/>
                <w:sz w:val="22"/>
                <w:szCs w:val="22"/>
              </w:rPr>
            </w:r>
            <w:r w:rsidR="007A1A91" w:rsidRPr="007A1A91">
              <w:rPr>
                <w:webHidden/>
                <w:sz w:val="22"/>
                <w:szCs w:val="22"/>
              </w:rPr>
              <w:fldChar w:fldCharType="separate"/>
            </w:r>
            <w:r w:rsidR="00223993">
              <w:rPr>
                <w:webHidden/>
                <w:sz w:val="22"/>
                <w:szCs w:val="22"/>
              </w:rPr>
              <w:t>13</w:t>
            </w:r>
            <w:r w:rsidR="007A1A91" w:rsidRPr="007A1A91">
              <w:rPr>
                <w:webHidden/>
                <w:sz w:val="22"/>
                <w:szCs w:val="22"/>
              </w:rPr>
              <w:fldChar w:fldCharType="end"/>
            </w:r>
          </w:hyperlink>
        </w:p>
        <w:p w:rsidR="007A1A91" w:rsidRPr="007A1A91" w:rsidRDefault="005A5217" w:rsidP="007A1A91">
          <w:pPr>
            <w:pStyle w:val="Sommario1"/>
            <w:spacing w:line="276" w:lineRule="auto"/>
            <w:rPr>
              <w:rFonts w:asciiTheme="minorHAnsi" w:eastAsiaTheme="minorEastAsia" w:hAnsiTheme="minorHAnsi" w:cstheme="minorBidi"/>
              <w:b w:val="0"/>
              <w:bCs w:val="0"/>
              <w:caps w:val="0"/>
              <w:snapToGrid/>
              <w:color w:val="auto"/>
              <w:sz w:val="22"/>
              <w:szCs w:val="22"/>
            </w:rPr>
          </w:pPr>
          <w:hyperlink w:anchor="_Toc421177344" w:history="1">
            <w:r w:rsidR="007A1A91" w:rsidRPr="007A1A91">
              <w:rPr>
                <w:rStyle w:val="Collegamentoipertestuale"/>
                <w:sz w:val="22"/>
                <w:szCs w:val="22"/>
              </w:rPr>
              <w:t>Le dinamiche demografiche e stock abitativo</w:t>
            </w:r>
            <w:r w:rsidR="007A1A91" w:rsidRPr="007A1A91">
              <w:rPr>
                <w:webHidden/>
                <w:sz w:val="22"/>
                <w:szCs w:val="22"/>
              </w:rPr>
              <w:tab/>
            </w:r>
            <w:r w:rsidR="007A1A91" w:rsidRPr="007A1A91">
              <w:rPr>
                <w:webHidden/>
                <w:sz w:val="22"/>
                <w:szCs w:val="22"/>
              </w:rPr>
              <w:fldChar w:fldCharType="begin"/>
            </w:r>
            <w:r w:rsidR="007A1A91" w:rsidRPr="007A1A91">
              <w:rPr>
                <w:webHidden/>
                <w:sz w:val="22"/>
                <w:szCs w:val="22"/>
              </w:rPr>
              <w:instrText xml:space="preserve"> PAGEREF _Toc421177344 \h </w:instrText>
            </w:r>
            <w:r w:rsidR="007A1A91" w:rsidRPr="007A1A91">
              <w:rPr>
                <w:webHidden/>
                <w:sz w:val="22"/>
                <w:szCs w:val="22"/>
              </w:rPr>
            </w:r>
            <w:r w:rsidR="007A1A91" w:rsidRPr="007A1A91">
              <w:rPr>
                <w:webHidden/>
                <w:sz w:val="22"/>
                <w:szCs w:val="22"/>
              </w:rPr>
              <w:fldChar w:fldCharType="separate"/>
            </w:r>
            <w:r w:rsidR="00223993">
              <w:rPr>
                <w:webHidden/>
                <w:sz w:val="22"/>
                <w:szCs w:val="22"/>
              </w:rPr>
              <w:t>15</w:t>
            </w:r>
            <w:r w:rsidR="007A1A91" w:rsidRPr="007A1A91">
              <w:rPr>
                <w:webHidden/>
                <w:sz w:val="22"/>
                <w:szCs w:val="22"/>
              </w:rPr>
              <w:fldChar w:fldCharType="end"/>
            </w:r>
          </w:hyperlink>
        </w:p>
        <w:p w:rsidR="007A1A91" w:rsidRPr="007A1A91" w:rsidRDefault="005A5217" w:rsidP="007A1A91">
          <w:pPr>
            <w:pStyle w:val="Sommario1"/>
            <w:spacing w:line="276" w:lineRule="auto"/>
            <w:rPr>
              <w:rFonts w:asciiTheme="minorHAnsi" w:eastAsiaTheme="minorEastAsia" w:hAnsiTheme="minorHAnsi" w:cstheme="minorBidi"/>
              <w:b w:val="0"/>
              <w:bCs w:val="0"/>
              <w:caps w:val="0"/>
              <w:snapToGrid/>
              <w:color w:val="auto"/>
              <w:sz w:val="22"/>
              <w:szCs w:val="22"/>
            </w:rPr>
          </w:pPr>
          <w:hyperlink w:anchor="_Toc421177345" w:history="1">
            <w:r w:rsidR="007A1A91" w:rsidRPr="007A1A91">
              <w:rPr>
                <w:rStyle w:val="Collegamentoipertestuale"/>
                <w:smallCaps/>
                <w:sz w:val="22"/>
                <w:szCs w:val="22"/>
              </w:rPr>
              <w:t>La questione infrastrutturale</w:t>
            </w:r>
            <w:r w:rsidR="007A1A91" w:rsidRPr="007A1A91">
              <w:rPr>
                <w:webHidden/>
                <w:sz w:val="22"/>
                <w:szCs w:val="22"/>
              </w:rPr>
              <w:tab/>
            </w:r>
            <w:r w:rsidR="007A1A91" w:rsidRPr="007A1A91">
              <w:rPr>
                <w:webHidden/>
                <w:sz w:val="22"/>
                <w:szCs w:val="22"/>
              </w:rPr>
              <w:fldChar w:fldCharType="begin"/>
            </w:r>
            <w:r w:rsidR="007A1A91" w:rsidRPr="007A1A91">
              <w:rPr>
                <w:webHidden/>
                <w:sz w:val="22"/>
                <w:szCs w:val="22"/>
              </w:rPr>
              <w:instrText xml:space="preserve"> PAGEREF _Toc421177345 \h </w:instrText>
            </w:r>
            <w:r w:rsidR="007A1A91" w:rsidRPr="007A1A91">
              <w:rPr>
                <w:webHidden/>
                <w:sz w:val="22"/>
                <w:szCs w:val="22"/>
              </w:rPr>
            </w:r>
            <w:r w:rsidR="007A1A91" w:rsidRPr="007A1A91">
              <w:rPr>
                <w:webHidden/>
                <w:sz w:val="22"/>
                <w:szCs w:val="22"/>
              </w:rPr>
              <w:fldChar w:fldCharType="separate"/>
            </w:r>
            <w:r w:rsidR="00223993">
              <w:rPr>
                <w:webHidden/>
                <w:sz w:val="22"/>
                <w:szCs w:val="22"/>
              </w:rPr>
              <w:t>16</w:t>
            </w:r>
            <w:r w:rsidR="007A1A91" w:rsidRPr="007A1A91">
              <w:rPr>
                <w:webHidden/>
                <w:sz w:val="22"/>
                <w:szCs w:val="22"/>
              </w:rPr>
              <w:fldChar w:fldCharType="end"/>
            </w:r>
          </w:hyperlink>
        </w:p>
        <w:p w:rsidR="007A1A91" w:rsidRPr="007A1A91" w:rsidRDefault="005A5217" w:rsidP="007A1A91">
          <w:pPr>
            <w:pStyle w:val="Sommario1"/>
            <w:spacing w:line="276" w:lineRule="auto"/>
            <w:rPr>
              <w:rFonts w:asciiTheme="minorHAnsi" w:eastAsiaTheme="minorEastAsia" w:hAnsiTheme="minorHAnsi" w:cstheme="minorBidi"/>
              <w:b w:val="0"/>
              <w:bCs w:val="0"/>
              <w:caps w:val="0"/>
              <w:snapToGrid/>
              <w:color w:val="auto"/>
              <w:sz w:val="22"/>
              <w:szCs w:val="22"/>
            </w:rPr>
          </w:pPr>
          <w:hyperlink w:anchor="_Toc421177346" w:history="1">
            <w:r w:rsidR="007A1A91" w:rsidRPr="007A1A91">
              <w:rPr>
                <w:rStyle w:val="Collegamentoipertestuale"/>
                <w:sz w:val="22"/>
                <w:szCs w:val="22"/>
              </w:rPr>
              <w:t>Allegato statistico</w:t>
            </w:r>
            <w:r w:rsidR="007A1A91" w:rsidRPr="007A1A91">
              <w:rPr>
                <w:webHidden/>
                <w:sz w:val="22"/>
                <w:szCs w:val="22"/>
              </w:rPr>
              <w:tab/>
            </w:r>
            <w:r w:rsidR="007A1A91" w:rsidRPr="007A1A91">
              <w:rPr>
                <w:webHidden/>
                <w:sz w:val="22"/>
                <w:szCs w:val="22"/>
              </w:rPr>
              <w:fldChar w:fldCharType="begin"/>
            </w:r>
            <w:r w:rsidR="007A1A91" w:rsidRPr="007A1A91">
              <w:rPr>
                <w:webHidden/>
                <w:sz w:val="22"/>
                <w:szCs w:val="22"/>
              </w:rPr>
              <w:instrText xml:space="preserve"> PAGEREF _Toc421177346 \h </w:instrText>
            </w:r>
            <w:r w:rsidR="007A1A91" w:rsidRPr="007A1A91">
              <w:rPr>
                <w:webHidden/>
                <w:sz w:val="22"/>
                <w:szCs w:val="22"/>
              </w:rPr>
            </w:r>
            <w:r w:rsidR="007A1A91" w:rsidRPr="007A1A91">
              <w:rPr>
                <w:webHidden/>
                <w:sz w:val="22"/>
                <w:szCs w:val="22"/>
              </w:rPr>
              <w:fldChar w:fldCharType="separate"/>
            </w:r>
            <w:r w:rsidR="00223993">
              <w:rPr>
                <w:webHidden/>
                <w:sz w:val="22"/>
                <w:szCs w:val="22"/>
              </w:rPr>
              <w:t>31</w:t>
            </w:r>
            <w:r w:rsidR="007A1A91" w:rsidRPr="007A1A91">
              <w:rPr>
                <w:webHidden/>
                <w:sz w:val="22"/>
                <w:szCs w:val="22"/>
              </w:rPr>
              <w:fldChar w:fldCharType="end"/>
            </w:r>
          </w:hyperlink>
        </w:p>
        <w:p w:rsidR="00025FFD" w:rsidRPr="007A1A91" w:rsidRDefault="00025FFD" w:rsidP="007A1A91">
          <w:pPr>
            <w:spacing w:after="240" w:line="276" w:lineRule="auto"/>
            <w:rPr>
              <w:rFonts w:ascii="Arial" w:hAnsi="Arial" w:cs="Arial"/>
              <w:sz w:val="22"/>
              <w:szCs w:val="22"/>
            </w:rPr>
          </w:pPr>
          <w:r w:rsidRPr="007A1A91">
            <w:rPr>
              <w:rFonts w:ascii="Arial" w:hAnsi="Arial" w:cs="Arial"/>
              <w:bCs/>
              <w:smallCaps/>
              <w:sz w:val="22"/>
              <w:szCs w:val="22"/>
            </w:rPr>
            <w:fldChar w:fldCharType="end"/>
          </w:r>
        </w:p>
      </w:sdtContent>
    </w:sdt>
    <w:p w:rsidR="00BB2F67" w:rsidRPr="007A1A91" w:rsidRDefault="00BB2F67" w:rsidP="007A1A91">
      <w:pPr>
        <w:spacing w:line="276" w:lineRule="auto"/>
        <w:rPr>
          <w:rFonts w:ascii="Arial" w:hAnsi="Arial" w:cs="Arial"/>
          <w:sz w:val="22"/>
          <w:szCs w:val="22"/>
        </w:rPr>
        <w:sectPr w:rsidR="00BB2F67" w:rsidRPr="007A1A91" w:rsidSect="007D6527">
          <w:footerReference w:type="default" r:id="rId10"/>
          <w:pgSz w:w="11906" w:h="16838" w:code="9"/>
          <w:pgMar w:top="1809" w:right="1701" w:bottom="1701" w:left="1701" w:header="720" w:footer="720" w:gutter="0"/>
          <w:pgNumType w:start="1"/>
          <w:cols w:space="720"/>
          <w:titlePg/>
          <w:docGrid w:linePitch="272"/>
        </w:sectPr>
      </w:pPr>
    </w:p>
    <w:p w:rsidR="00A93677" w:rsidRPr="00A93677" w:rsidRDefault="00A93677" w:rsidP="00A93677">
      <w:pPr>
        <w:pStyle w:val="Titolo1"/>
      </w:pPr>
      <w:bookmarkStart w:id="3" w:name="_Toc421177340"/>
      <w:r w:rsidRPr="00A93677">
        <w:lastRenderedPageBreak/>
        <w:t>L’andamento dell’economia e del settore delle costruzioni</w:t>
      </w:r>
      <w:bookmarkEnd w:id="3"/>
    </w:p>
    <w:tbl>
      <w:tblPr>
        <w:tblW w:w="8666" w:type="dxa"/>
        <w:jc w:val="center"/>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5"/>
        <w:gridCol w:w="7021"/>
      </w:tblGrid>
      <w:tr w:rsidR="00EA15BA" w:rsidRPr="00C048ED" w:rsidTr="00C3297E">
        <w:trPr>
          <w:jc w:val="center"/>
        </w:trPr>
        <w:tc>
          <w:tcPr>
            <w:tcW w:w="1641" w:type="dxa"/>
            <w:tcBorders>
              <w:top w:val="nil"/>
              <w:left w:val="nil"/>
              <w:bottom w:val="nil"/>
              <w:right w:val="nil"/>
            </w:tcBorders>
            <w:shd w:val="clear" w:color="auto" w:fill="auto"/>
          </w:tcPr>
          <w:p w:rsidR="00EA15BA" w:rsidRPr="00A93677" w:rsidRDefault="00EA15BA" w:rsidP="00A93677">
            <w:pPr>
              <w:rPr>
                <w:rFonts w:ascii="Arial" w:hAnsi="Arial" w:cs="Arial"/>
                <w:b/>
                <w:color w:val="000080"/>
              </w:rPr>
            </w:pPr>
            <w:bookmarkStart w:id="4" w:name="OLE_LINK1"/>
            <w:r w:rsidRPr="00A93677">
              <w:rPr>
                <w:rFonts w:ascii="Arial" w:hAnsi="Arial" w:cs="Arial"/>
                <w:b/>
                <w:color w:val="000080"/>
              </w:rPr>
              <w:t>L’economia italiana verso la ripresa</w:t>
            </w:r>
          </w:p>
          <w:p w:rsidR="00EA15BA" w:rsidRPr="0033013A" w:rsidRDefault="00EA15BA" w:rsidP="004E25A3">
            <w:pPr>
              <w:suppressAutoHyphens/>
              <w:spacing w:after="120"/>
              <w:rPr>
                <w:rFonts w:ascii="Arial" w:hAnsi="Arial" w:cs="Arial"/>
                <w:b/>
                <w:snapToGrid w:val="0"/>
                <w:color w:val="000080"/>
                <w:szCs w:val="24"/>
                <w:lang w:eastAsia="en-US"/>
              </w:rPr>
            </w:pPr>
          </w:p>
        </w:tc>
        <w:tc>
          <w:tcPr>
            <w:tcW w:w="7006" w:type="dxa"/>
            <w:tcBorders>
              <w:top w:val="nil"/>
              <w:left w:val="nil"/>
              <w:bottom w:val="nil"/>
              <w:right w:val="nil"/>
            </w:tcBorders>
            <w:shd w:val="clear" w:color="auto" w:fill="auto"/>
          </w:tcPr>
          <w:p w:rsidR="00886133" w:rsidRPr="00886133" w:rsidRDefault="00886133" w:rsidP="00886133">
            <w:pPr>
              <w:pStyle w:val="NormaleWeb"/>
              <w:spacing w:after="120"/>
              <w:jc w:val="both"/>
              <w:rPr>
                <w:rFonts w:ascii="Arial" w:hAnsi="Arial" w:cs="Arial"/>
                <w:sz w:val="22"/>
                <w:szCs w:val="22"/>
              </w:rPr>
            </w:pPr>
            <w:r w:rsidRPr="00886133">
              <w:rPr>
                <w:rFonts w:ascii="Arial" w:hAnsi="Arial" w:cs="Arial"/>
                <w:sz w:val="22"/>
                <w:szCs w:val="22"/>
              </w:rPr>
              <w:t>L’economia italiana sta sperimentando, dalla fine del 2014, un gr</w:t>
            </w:r>
            <w:r w:rsidRPr="00886133">
              <w:rPr>
                <w:rFonts w:ascii="Arial" w:hAnsi="Arial" w:cs="Arial"/>
                <w:sz w:val="22"/>
                <w:szCs w:val="22"/>
              </w:rPr>
              <w:t>a</w:t>
            </w:r>
            <w:r w:rsidRPr="00886133">
              <w:rPr>
                <w:rFonts w:ascii="Arial" w:hAnsi="Arial" w:cs="Arial"/>
                <w:sz w:val="22"/>
                <w:szCs w:val="22"/>
              </w:rPr>
              <w:t>duale miglioramento e</w:t>
            </w:r>
            <w:r w:rsidR="008705DC">
              <w:rPr>
                <w:rFonts w:ascii="Arial" w:hAnsi="Arial" w:cs="Arial"/>
                <w:sz w:val="22"/>
                <w:szCs w:val="22"/>
              </w:rPr>
              <w:t>d</w:t>
            </w:r>
            <w:r w:rsidRPr="00886133">
              <w:rPr>
                <w:rFonts w:ascii="Arial" w:hAnsi="Arial" w:cs="Arial"/>
                <w:sz w:val="22"/>
                <w:szCs w:val="22"/>
              </w:rPr>
              <w:t xml:space="preserve"> </w:t>
            </w:r>
            <w:r w:rsidR="008705DC">
              <w:rPr>
                <w:rFonts w:ascii="Arial" w:hAnsi="Arial" w:cs="Arial"/>
                <w:sz w:val="22"/>
                <w:szCs w:val="22"/>
              </w:rPr>
              <w:t xml:space="preserve">i dati </w:t>
            </w:r>
            <w:r w:rsidRPr="00886133">
              <w:rPr>
                <w:rFonts w:ascii="Arial" w:hAnsi="Arial" w:cs="Arial"/>
                <w:sz w:val="22"/>
                <w:szCs w:val="22"/>
              </w:rPr>
              <w:t xml:space="preserve">Istat del </w:t>
            </w:r>
            <w:proofErr w:type="spellStart"/>
            <w:r w:rsidRPr="00886133">
              <w:rPr>
                <w:rFonts w:ascii="Arial" w:hAnsi="Arial" w:cs="Arial"/>
                <w:sz w:val="22"/>
                <w:szCs w:val="22"/>
              </w:rPr>
              <w:t>Pil</w:t>
            </w:r>
            <w:proofErr w:type="spellEnd"/>
            <w:r w:rsidRPr="00886133">
              <w:rPr>
                <w:rFonts w:ascii="Arial" w:hAnsi="Arial" w:cs="Arial"/>
                <w:sz w:val="22"/>
                <w:szCs w:val="22"/>
              </w:rPr>
              <w:t xml:space="preserve"> relativ</w:t>
            </w:r>
            <w:r w:rsidR="008705DC">
              <w:rPr>
                <w:rFonts w:ascii="Arial" w:hAnsi="Arial" w:cs="Arial"/>
                <w:sz w:val="22"/>
                <w:szCs w:val="22"/>
              </w:rPr>
              <w:t>i</w:t>
            </w:r>
            <w:r w:rsidRPr="00886133">
              <w:rPr>
                <w:rFonts w:ascii="Arial" w:hAnsi="Arial" w:cs="Arial"/>
                <w:sz w:val="22"/>
                <w:szCs w:val="22"/>
              </w:rPr>
              <w:t xml:space="preserve"> a</w:t>
            </w:r>
            <w:r w:rsidR="009E271A">
              <w:rPr>
                <w:rFonts w:ascii="Arial" w:hAnsi="Arial" w:cs="Arial"/>
                <w:sz w:val="22"/>
                <w:szCs w:val="22"/>
              </w:rPr>
              <w:t xml:space="preserve">l </w:t>
            </w:r>
            <w:r w:rsidRPr="00886133">
              <w:rPr>
                <w:rFonts w:ascii="Arial" w:hAnsi="Arial" w:cs="Arial"/>
                <w:sz w:val="22"/>
                <w:szCs w:val="22"/>
              </w:rPr>
              <w:t>prim</w:t>
            </w:r>
            <w:r w:rsidR="009E271A">
              <w:rPr>
                <w:rFonts w:ascii="Arial" w:hAnsi="Arial" w:cs="Arial"/>
                <w:sz w:val="22"/>
                <w:szCs w:val="22"/>
              </w:rPr>
              <w:t xml:space="preserve">o trimestre </w:t>
            </w:r>
            <w:r w:rsidRPr="00886133">
              <w:rPr>
                <w:rFonts w:ascii="Arial" w:hAnsi="Arial" w:cs="Arial"/>
                <w:sz w:val="22"/>
                <w:szCs w:val="22"/>
              </w:rPr>
              <w:t>del 2015 conferma</w:t>
            </w:r>
            <w:r w:rsidR="008705DC">
              <w:rPr>
                <w:rFonts w:ascii="Arial" w:hAnsi="Arial" w:cs="Arial"/>
                <w:sz w:val="22"/>
                <w:szCs w:val="22"/>
              </w:rPr>
              <w:t>no</w:t>
            </w:r>
            <w:r w:rsidRPr="00886133">
              <w:rPr>
                <w:rFonts w:ascii="Arial" w:hAnsi="Arial" w:cs="Arial"/>
                <w:sz w:val="22"/>
                <w:szCs w:val="22"/>
              </w:rPr>
              <w:t>, per il nostro Paese, la probabile uscita dalla rece</w:t>
            </w:r>
            <w:r w:rsidRPr="00886133">
              <w:rPr>
                <w:rFonts w:ascii="Arial" w:hAnsi="Arial" w:cs="Arial"/>
                <w:sz w:val="22"/>
                <w:szCs w:val="22"/>
              </w:rPr>
              <w:t>s</w:t>
            </w:r>
            <w:r w:rsidRPr="00886133">
              <w:rPr>
                <w:rFonts w:ascii="Arial" w:hAnsi="Arial" w:cs="Arial"/>
                <w:sz w:val="22"/>
                <w:szCs w:val="22"/>
              </w:rPr>
              <w:t xml:space="preserve">sione. I primi tre mesi dell’anno in corso segnano, rispetto al trimestre precedente, un aumento del </w:t>
            </w:r>
            <w:proofErr w:type="spellStart"/>
            <w:r w:rsidRPr="00886133">
              <w:rPr>
                <w:rFonts w:ascii="Arial" w:hAnsi="Arial" w:cs="Arial"/>
                <w:sz w:val="22"/>
                <w:szCs w:val="22"/>
              </w:rPr>
              <w:t>Pil</w:t>
            </w:r>
            <w:proofErr w:type="spellEnd"/>
            <w:r w:rsidRPr="00886133">
              <w:rPr>
                <w:rFonts w:ascii="Arial" w:hAnsi="Arial" w:cs="Arial"/>
                <w:sz w:val="22"/>
                <w:szCs w:val="22"/>
              </w:rPr>
              <w:t xml:space="preserve"> pari allo 0,3%. Già nel quarto trim</w:t>
            </w:r>
            <w:r w:rsidRPr="00886133">
              <w:rPr>
                <w:rFonts w:ascii="Arial" w:hAnsi="Arial" w:cs="Arial"/>
                <w:sz w:val="22"/>
                <w:szCs w:val="22"/>
              </w:rPr>
              <w:t>e</w:t>
            </w:r>
            <w:r w:rsidRPr="00886133">
              <w:rPr>
                <w:rFonts w:ascii="Arial" w:hAnsi="Arial" w:cs="Arial"/>
                <w:sz w:val="22"/>
                <w:szCs w:val="22"/>
              </w:rPr>
              <w:t xml:space="preserve">stre 2014 si era registrata una variazione </w:t>
            </w:r>
            <w:r w:rsidR="004E3BE7">
              <w:rPr>
                <w:rFonts w:ascii="Arial" w:hAnsi="Arial" w:cs="Arial"/>
                <w:sz w:val="22"/>
                <w:szCs w:val="22"/>
              </w:rPr>
              <w:t xml:space="preserve">congiunturale </w:t>
            </w:r>
            <w:r w:rsidRPr="00886133">
              <w:rPr>
                <w:rFonts w:ascii="Arial" w:hAnsi="Arial" w:cs="Arial"/>
                <w:sz w:val="22"/>
                <w:szCs w:val="22"/>
              </w:rPr>
              <w:t xml:space="preserve">nulla, che ha interrotto la serie negativa dei periodi precedenti. </w:t>
            </w:r>
          </w:p>
          <w:p w:rsidR="00EA15BA" w:rsidRPr="00742038" w:rsidRDefault="00886133" w:rsidP="00886133">
            <w:pPr>
              <w:pStyle w:val="NormaleWeb"/>
              <w:spacing w:after="120"/>
              <w:jc w:val="both"/>
              <w:rPr>
                <w:rFonts w:ascii="Arial" w:hAnsi="Arial" w:cs="Arial"/>
                <w:sz w:val="22"/>
                <w:szCs w:val="22"/>
              </w:rPr>
            </w:pPr>
            <w:r w:rsidRPr="00886133">
              <w:rPr>
                <w:rFonts w:ascii="Arial" w:hAnsi="Arial" w:cs="Arial"/>
                <w:sz w:val="22"/>
                <w:szCs w:val="22"/>
              </w:rPr>
              <w:t>La dinamica tendenziale per il 2014 rimane comunque negativa</w:t>
            </w:r>
            <w:r>
              <w:rPr>
                <w:rFonts w:ascii="Arial" w:hAnsi="Arial" w:cs="Arial"/>
                <w:sz w:val="22"/>
                <w:szCs w:val="22"/>
              </w:rPr>
              <w:t xml:space="preserve">       </w:t>
            </w:r>
            <w:r w:rsidRPr="00886133">
              <w:rPr>
                <w:rFonts w:ascii="Arial" w:hAnsi="Arial" w:cs="Arial"/>
                <w:sz w:val="22"/>
                <w:szCs w:val="22"/>
              </w:rPr>
              <w:t xml:space="preserve"> (-0,4% rispetto al 2013) ma di intensità sensibilmente più ridotta r</w:t>
            </w:r>
            <w:r w:rsidRPr="00886133">
              <w:rPr>
                <w:rFonts w:ascii="Arial" w:hAnsi="Arial" w:cs="Arial"/>
                <w:sz w:val="22"/>
                <w:szCs w:val="22"/>
              </w:rPr>
              <w:t>i</w:t>
            </w:r>
            <w:r w:rsidRPr="00886133">
              <w:rPr>
                <w:rFonts w:ascii="Arial" w:hAnsi="Arial" w:cs="Arial"/>
                <w:sz w:val="22"/>
                <w:szCs w:val="22"/>
              </w:rPr>
              <w:t>spetto al -1,7% del 2013 ed al -2,8% del 2012.</w:t>
            </w:r>
            <w:r w:rsidRPr="00886133">
              <w:rPr>
                <w:rFonts w:ascii="Arial" w:hAnsi="Arial" w:cs="Arial"/>
                <w:b/>
                <w:sz w:val="22"/>
                <w:szCs w:val="22"/>
              </w:rPr>
              <w:t xml:space="preserve"> </w:t>
            </w:r>
          </w:p>
        </w:tc>
      </w:tr>
    </w:tbl>
    <w:p w:rsidR="00886133" w:rsidRDefault="008705DC" w:rsidP="00B81BCB">
      <w:pPr>
        <w:tabs>
          <w:tab w:val="left" w:pos="1909"/>
        </w:tabs>
        <w:spacing w:after="100"/>
        <w:ind w:left="268"/>
        <w:rPr>
          <w:rFonts w:ascii="Arial" w:hAnsi="Arial" w:cs="Arial"/>
          <w:b/>
          <w:color w:val="000080"/>
        </w:rPr>
      </w:pPr>
      <w:r w:rsidRPr="008705DC">
        <w:rPr>
          <w:noProof/>
        </w:rPr>
        <w:drawing>
          <wp:anchor distT="0" distB="0" distL="114300" distR="114300" simplePos="0" relativeHeight="253184000" behindDoc="0" locked="0" layoutInCell="1" allowOverlap="1" wp14:anchorId="4E0B3974" wp14:editId="1FA803F0">
            <wp:simplePos x="0" y="0"/>
            <wp:positionH relativeFrom="column">
              <wp:posOffset>1041400</wp:posOffset>
            </wp:positionH>
            <wp:positionV relativeFrom="line">
              <wp:posOffset>33655</wp:posOffset>
            </wp:positionV>
            <wp:extent cx="4278630" cy="3095625"/>
            <wp:effectExtent l="0" t="0" r="0" b="9525"/>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8630" cy="309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886133" w:rsidRPr="00A93677">
        <w:rPr>
          <w:rFonts w:ascii="Arial" w:hAnsi="Arial" w:cs="Arial"/>
          <w:b/>
          <w:color w:val="000080"/>
        </w:rPr>
        <w:tab/>
      </w:r>
    </w:p>
    <w:p w:rsidR="00886133" w:rsidRDefault="00886133" w:rsidP="008705DC">
      <w:pPr>
        <w:tabs>
          <w:tab w:val="left" w:pos="1909"/>
        </w:tabs>
        <w:spacing w:after="100"/>
        <w:ind w:left="268"/>
        <w:jc w:val="center"/>
        <w:rPr>
          <w:rFonts w:ascii="Arial" w:hAnsi="Arial" w:cs="Arial"/>
          <w:b/>
          <w:color w:val="000080"/>
        </w:rPr>
      </w:pPr>
    </w:p>
    <w:p w:rsidR="00886133" w:rsidRDefault="00886133" w:rsidP="00B81BCB">
      <w:pPr>
        <w:tabs>
          <w:tab w:val="left" w:pos="1909"/>
        </w:tabs>
        <w:spacing w:after="100"/>
        <w:ind w:left="268"/>
        <w:rPr>
          <w:rFonts w:ascii="Arial" w:hAnsi="Arial" w:cs="Arial"/>
          <w:b/>
          <w:color w:val="000080"/>
        </w:rPr>
      </w:pPr>
    </w:p>
    <w:p w:rsidR="00886133" w:rsidRDefault="00886133" w:rsidP="00B81BCB">
      <w:pPr>
        <w:tabs>
          <w:tab w:val="left" w:pos="1909"/>
        </w:tabs>
        <w:spacing w:after="100"/>
        <w:ind w:left="268"/>
        <w:rPr>
          <w:rFonts w:ascii="Arial" w:hAnsi="Arial" w:cs="Arial"/>
          <w:b/>
          <w:color w:val="000080"/>
        </w:rPr>
      </w:pPr>
    </w:p>
    <w:p w:rsidR="00886133" w:rsidRDefault="00886133" w:rsidP="00B81BCB">
      <w:pPr>
        <w:tabs>
          <w:tab w:val="left" w:pos="1909"/>
        </w:tabs>
        <w:spacing w:after="100"/>
        <w:ind w:left="268"/>
        <w:rPr>
          <w:rFonts w:ascii="Arial" w:hAnsi="Arial" w:cs="Arial"/>
          <w:b/>
          <w:color w:val="000080"/>
        </w:rPr>
      </w:pPr>
    </w:p>
    <w:p w:rsidR="00886133" w:rsidRDefault="00886133" w:rsidP="00B81BCB">
      <w:pPr>
        <w:tabs>
          <w:tab w:val="left" w:pos="1909"/>
        </w:tabs>
        <w:spacing w:after="100"/>
        <w:ind w:left="268"/>
        <w:rPr>
          <w:rFonts w:ascii="Arial" w:hAnsi="Arial" w:cs="Arial"/>
          <w:sz w:val="22"/>
          <w:szCs w:val="22"/>
        </w:rPr>
      </w:pPr>
    </w:p>
    <w:p w:rsidR="00886133" w:rsidRDefault="00886133" w:rsidP="00B81BCB">
      <w:pPr>
        <w:tabs>
          <w:tab w:val="left" w:pos="1909"/>
        </w:tabs>
        <w:spacing w:after="100"/>
        <w:ind w:left="268"/>
        <w:rPr>
          <w:rFonts w:ascii="Arial" w:hAnsi="Arial" w:cs="Arial"/>
          <w:sz w:val="22"/>
          <w:szCs w:val="22"/>
        </w:rPr>
      </w:pPr>
    </w:p>
    <w:p w:rsidR="00886133" w:rsidRDefault="00886133" w:rsidP="00B81BCB">
      <w:pPr>
        <w:tabs>
          <w:tab w:val="left" w:pos="1909"/>
        </w:tabs>
        <w:spacing w:after="100"/>
        <w:ind w:left="268"/>
        <w:rPr>
          <w:rFonts w:ascii="Arial" w:hAnsi="Arial" w:cs="Arial"/>
          <w:sz w:val="22"/>
          <w:szCs w:val="22"/>
        </w:rPr>
      </w:pPr>
    </w:p>
    <w:p w:rsidR="00886133" w:rsidRDefault="00886133" w:rsidP="00B81BCB">
      <w:pPr>
        <w:tabs>
          <w:tab w:val="left" w:pos="1909"/>
        </w:tabs>
        <w:spacing w:after="100"/>
        <w:ind w:left="268"/>
        <w:rPr>
          <w:rFonts w:ascii="Arial" w:hAnsi="Arial" w:cs="Arial"/>
          <w:sz w:val="22"/>
          <w:szCs w:val="22"/>
        </w:rPr>
      </w:pPr>
    </w:p>
    <w:p w:rsidR="00886133" w:rsidRDefault="00886133" w:rsidP="00B81BCB">
      <w:pPr>
        <w:tabs>
          <w:tab w:val="left" w:pos="1909"/>
        </w:tabs>
        <w:spacing w:after="100"/>
        <w:ind w:left="268"/>
        <w:rPr>
          <w:rFonts w:ascii="Arial" w:hAnsi="Arial" w:cs="Arial"/>
          <w:sz w:val="22"/>
          <w:szCs w:val="22"/>
        </w:rPr>
      </w:pPr>
    </w:p>
    <w:p w:rsidR="00886133" w:rsidRDefault="00886133" w:rsidP="00B81BCB">
      <w:pPr>
        <w:tabs>
          <w:tab w:val="left" w:pos="1909"/>
        </w:tabs>
        <w:spacing w:after="100"/>
        <w:ind w:left="268"/>
        <w:rPr>
          <w:rFonts w:ascii="Arial" w:hAnsi="Arial" w:cs="Arial"/>
          <w:sz w:val="22"/>
          <w:szCs w:val="22"/>
        </w:rPr>
      </w:pPr>
    </w:p>
    <w:p w:rsidR="00886133" w:rsidRDefault="00886133" w:rsidP="00B81BCB">
      <w:pPr>
        <w:tabs>
          <w:tab w:val="left" w:pos="1909"/>
        </w:tabs>
        <w:spacing w:after="100"/>
        <w:ind w:left="268"/>
        <w:rPr>
          <w:rFonts w:ascii="Arial" w:hAnsi="Arial" w:cs="Arial"/>
          <w:sz w:val="22"/>
          <w:szCs w:val="22"/>
        </w:rPr>
      </w:pPr>
    </w:p>
    <w:p w:rsidR="00886133" w:rsidRDefault="00886133" w:rsidP="00B81BCB">
      <w:pPr>
        <w:tabs>
          <w:tab w:val="left" w:pos="1909"/>
        </w:tabs>
        <w:spacing w:after="100"/>
        <w:ind w:left="268"/>
        <w:rPr>
          <w:rFonts w:ascii="Arial" w:hAnsi="Arial" w:cs="Arial"/>
          <w:sz w:val="22"/>
          <w:szCs w:val="22"/>
        </w:rPr>
      </w:pPr>
    </w:p>
    <w:p w:rsidR="00886133" w:rsidRDefault="00886133" w:rsidP="00B81BCB">
      <w:pPr>
        <w:tabs>
          <w:tab w:val="left" w:pos="1909"/>
        </w:tabs>
        <w:spacing w:after="100"/>
        <w:ind w:left="268"/>
        <w:rPr>
          <w:rFonts w:ascii="Arial" w:hAnsi="Arial" w:cs="Arial"/>
          <w:sz w:val="22"/>
          <w:szCs w:val="22"/>
        </w:rPr>
      </w:pPr>
    </w:p>
    <w:p w:rsidR="00886133" w:rsidRDefault="00886133" w:rsidP="00B81BCB">
      <w:pPr>
        <w:tabs>
          <w:tab w:val="left" w:pos="1909"/>
        </w:tabs>
        <w:spacing w:after="100"/>
        <w:ind w:left="268"/>
        <w:rPr>
          <w:rFonts w:ascii="Arial" w:hAnsi="Arial" w:cs="Arial"/>
          <w:sz w:val="22"/>
          <w:szCs w:val="22"/>
        </w:rPr>
      </w:pPr>
    </w:p>
    <w:tbl>
      <w:tblPr>
        <w:tblW w:w="8666" w:type="dxa"/>
        <w:jc w:val="center"/>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4"/>
        <w:gridCol w:w="7022"/>
      </w:tblGrid>
      <w:tr w:rsidR="00886133" w:rsidRPr="00C048ED" w:rsidTr="00F9585C">
        <w:trPr>
          <w:jc w:val="center"/>
        </w:trPr>
        <w:tc>
          <w:tcPr>
            <w:tcW w:w="1644" w:type="dxa"/>
            <w:tcBorders>
              <w:top w:val="nil"/>
              <w:left w:val="nil"/>
              <w:bottom w:val="nil"/>
              <w:right w:val="nil"/>
            </w:tcBorders>
            <w:shd w:val="clear" w:color="auto" w:fill="auto"/>
          </w:tcPr>
          <w:p w:rsidR="00886133" w:rsidRPr="00A93677" w:rsidRDefault="00886133" w:rsidP="00A93677">
            <w:pPr>
              <w:rPr>
                <w:rFonts w:ascii="Arial" w:hAnsi="Arial" w:cs="Arial"/>
                <w:b/>
                <w:color w:val="000080"/>
              </w:rPr>
            </w:pPr>
          </w:p>
        </w:tc>
        <w:tc>
          <w:tcPr>
            <w:tcW w:w="7022" w:type="dxa"/>
            <w:tcBorders>
              <w:top w:val="nil"/>
              <w:left w:val="nil"/>
              <w:bottom w:val="nil"/>
              <w:right w:val="nil"/>
            </w:tcBorders>
            <w:shd w:val="clear" w:color="auto" w:fill="auto"/>
          </w:tcPr>
          <w:p w:rsidR="00886133" w:rsidRPr="00886133" w:rsidRDefault="00886133" w:rsidP="00886133">
            <w:pPr>
              <w:spacing w:after="100"/>
              <w:jc w:val="both"/>
              <w:rPr>
                <w:rFonts w:ascii="Arial" w:hAnsi="Arial" w:cs="Arial"/>
                <w:sz w:val="22"/>
                <w:szCs w:val="22"/>
              </w:rPr>
            </w:pPr>
            <w:r w:rsidRPr="00886133">
              <w:rPr>
                <w:rFonts w:ascii="Arial" w:hAnsi="Arial" w:cs="Arial"/>
                <w:sz w:val="22"/>
                <w:szCs w:val="22"/>
              </w:rPr>
              <w:t>Le previsioni per il 2015 sono improntate ad una lieve crescita, che oscilla tra lo 0,6% della Commissione Europea e dell’Ocse e lo 0,7% del DEF di aprile 2015, dell’Istat e del FMI.</w:t>
            </w:r>
          </w:p>
          <w:p w:rsidR="00886133" w:rsidRPr="00C37167" w:rsidRDefault="00886133" w:rsidP="00886133">
            <w:pPr>
              <w:spacing w:after="100"/>
              <w:jc w:val="both"/>
              <w:rPr>
                <w:rFonts w:ascii="Arial" w:hAnsi="Arial" w:cs="Arial"/>
                <w:sz w:val="22"/>
                <w:szCs w:val="22"/>
              </w:rPr>
            </w:pPr>
            <w:r w:rsidRPr="00886133">
              <w:rPr>
                <w:rFonts w:ascii="Arial" w:hAnsi="Arial" w:cs="Arial"/>
                <w:sz w:val="22"/>
                <w:szCs w:val="22"/>
              </w:rPr>
              <w:t xml:space="preserve">Sulla crescita del </w:t>
            </w:r>
            <w:proofErr w:type="spellStart"/>
            <w:r w:rsidRPr="00886133">
              <w:rPr>
                <w:rFonts w:ascii="Arial" w:hAnsi="Arial" w:cs="Arial"/>
                <w:sz w:val="22"/>
                <w:szCs w:val="22"/>
              </w:rPr>
              <w:t>Pil</w:t>
            </w:r>
            <w:proofErr w:type="spellEnd"/>
            <w:r w:rsidRPr="00886133">
              <w:rPr>
                <w:rFonts w:ascii="Arial" w:hAnsi="Arial" w:cs="Arial"/>
                <w:sz w:val="22"/>
                <w:szCs w:val="22"/>
              </w:rPr>
              <w:t xml:space="preserve"> incidono la riduzione del prezzo del petrolio, il tasso di cambio Euro/dollaro più favorevole e l’immissione di liquidità messa in campo dalla Banca centrale europea.</w:t>
            </w:r>
          </w:p>
        </w:tc>
      </w:tr>
      <w:tr w:rsidR="002144CB" w:rsidRPr="00C048ED" w:rsidTr="00F9585C">
        <w:trPr>
          <w:jc w:val="center"/>
        </w:trPr>
        <w:tc>
          <w:tcPr>
            <w:tcW w:w="1644" w:type="dxa"/>
            <w:tcBorders>
              <w:top w:val="nil"/>
              <w:left w:val="nil"/>
              <w:bottom w:val="nil"/>
              <w:right w:val="nil"/>
            </w:tcBorders>
            <w:shd w:val="clear" w:color="auto" w:fill="auto"/>
          </w:tcPr>
          <w:p w:rsidR="002144CB" w:rsidRPr="00A93677" w:rsidRDefault="002144CB" w:rsidP="00A93677">
            <w:pPr>
              <w:rPr>
                <w:rFonts w:ascii="Arial" w:hAnsi="Arial" w:cs="Arial"/>
                <w:b/>
                <w:color w:val="000080"/>
              </w:rPr>
            </w:pPr>
            <w:r w:rsidRPr="00A93677">
              <w:rPr>
                <w:rFonts w:ascii="Arial" w:hAnsi="Arial" w:cs="Arial"/>
                <w:b/>
                <w:color w:val="000080"/>
              </w:rPr>
              <w:t>La crisi delle costruzioni</w:t>
            </w:r>
            <w:r w:rsidR="00143070">
              <w:rPr>
                <w:rFonts w:ascii="Arial" w:hAnsi="Arial" w:cs="Arial"/>
                <w:b/>
                <w:color w:val="000080"/>
              </w:rPr>
              <w:t xml:space="preserve"> in Italia</w:t>
            </w:r>
            <w:r w:rsidRPr="00A93677">
              <w:rPr>
                <w:rFonts w:ascii="Arial" w:hAnsi="Arial" w:cs="Arial"/>
                <w:b/>
                <w:color w:val="000080"/>
              </w:rPr>
              <w:t xml:space="preserve"> </w:t>
            </w:r>
          </w:p>
          <w:p w:rsidR="002144CB" w:rsidRPr="00A93677" w:rsidRDefault="002144CB" w:rsidP="00A93677">
            <w:pPr>
              <w:rPr>
                <w:rFonts w:ascii="Arial" w:hAnsi="Arial" w:cs="Arial"/>
                <w:b/>
                <w:color w:val="000080"/>
              </w:rPr>
            </w:pPr>
          </w:p>
        </w:tc>
        <w:tc>
          <w:tcPr>
            <w:tcW w:w="7022" w:type="dxa"/>
            <w:tcBorders>
              <w:top w:val="nil"/>
              <w:left w:val="nil"/>
              <w:bottom w:val="nil"/>
              <w:right w:val="nil"/>
            </w:tcBorders>
            <w:shd w:val="clear" w:color="auto" w:fill="auto"/>
          </w:tcPr>
          <w:p w:rsidR="002144CB" w:rsidRPr="0074560A" w:rsidRDefault="002144CB" w:rsidP="005A5217">
            <w:pPr>
              <w:spacing w:after="80"/>
              <w:jc w:val="both"/>
              <w:rPr>
                <w:rFonts w:ascii="Arial" w:hAnsi="Arial" w:cs="Arial"/>
                <w:b/>
                <w:sz w:val="22"/>
                <w:szCs w:val="22"/>
              </w:rPr>
            </w:pPr>
            <w:r w:rsidRPr="0074560A">
              <w:rPr>
                <w:rFonts w:ascii="Arial" w:hAnsi="Arial" w:cs="Arial"/>
                <w:b/>
                <w:sz w:val="22"/>
                <w:szCs w:val="22"/>
              </w:rPr>
              <w:t>Per il settore delle costruzioni, in particolare, continua la situ</w:t>
            </w:r>
            <w:r w:rsidRPr="0074560A">
              <w:rPr>
                <w:rFonts w:ascii="Arial" w:hAnsi="Arial" w:cs="Arial"/>
                <w:b/>
                <w:sz w:val="22"/>
                <w:szCs w:val="22"/>
              </w:rPr>
              <w:t>a</w:t>
            </w:r>
            <w:r w:rsidRPr="0074560A">
              <w:rPr>
                <w:rFonts w:ascii="Arial" w:hAnsi="Arial" w:cs="Arial"/>
                <w:b/>
                <w:sz w:val="22"/>
                <w:szCs w:val="22"/>
              </w:rPr>
              <w:t>zione di crisi sul fronte della produzione mentre si riscontrano segnali positivi nel mercato immobiliare, nei mutui erogati alle famiglie per l’acquisto di un’abitazione</w:t>
            </w:r>
            <w:r w:rsidR="003802DC">
              <w:rPr>
                <w:rFonts w:ascii="Arial" w:hAnsi="Arial" w:cs="Arial"/>
                <w:b/>
                <w:sz w:val="22"/>
                <w:szCs w:val="22"/>
              </w:rPr>
              <w:t xml:space="preserve"> </w:t>
            </w:r>
            <w:r w:rsidRPr="0074560A">
              <w:rPr>
                <w:rFonts w:ascii="Arial" w:hAnsi="Arial" w:cs="Arial"/>
                <w:b/>
                <w:sz w:val="22"/>
                <w:szCs w:val="22"/>
              </w:rPr>
              <w:t>e nei bandi di gara per lavori pubblici.</w:t>
            </w:r>
          </w:p>
          <w:p w:rsidR="002144CB" w:rsidRPr="0074560A" w:rsidRDefault="002144CB" w:rsidP="005A5217">
            <w:pPr>
              <w:spacing w:after="80"/>
              <w:jc w:val="both"/>
              <w:rPr>
                <w:rFonts w:ascii="Arial" w:hAnsi="Arial" w:cs="Arial"/>
                <w:sz w:val="22"/>
                <w:szCs w:val="22"/>
              </w:rPr>
            </w:pPr>
            <w:r w:rsidRPr="0074560A">
              <w:rPr>
                <w:rFonts w:ascii="Arial" w:hAnsi="Arial" w:cs="Arial"/>
                <w:sz w:val="22"/>
                <w:szCs w:val="22"/>
              </w:rPr>
              <w:t>Nel 2014, per il settimo anno consecutivo, il settore delle costruzioni è stato caratterizzato da una forte crisi, sia nella componente privata (ad eccezione dei lavori di riqualificazione del patrimonio abitativo) che in quella pubblica.</w:t>
            </w:r>
          </w:p>
          <w:p w:rsidR="002144CB" w:rsidRPr="0074560A" w:rsidRDefault="002144CB" w:rsidP="005A5217">
            <w:pPr>
              <w:spacing w:after="80"/>
              <w:jc w:val="both"/>
              <w:rPr>
                <w:rFonts w:ascii="Arial" w:hAnsi="Arial" w:cs="Arial"/>
                <w:sz w:val="22"/>
                <w:szCs w:val="22"/>
              </w:rPr>
            </w:pPr>
            <w:r w:rsidRPr="0074560A">
              <w:rPr>
                <w:rFonts w:ascii="Arial" w:hAnsi="Arial" w:cs="Arial"/>
                <w:sz w:val="22"/>
                <w:szCs w:val="22"/>
              </w:rPr>
              <w:t xml:space="preserve">In sette anni, </w:t>
            </w:r>
            <w:r w:rsidRPr="0074560A">
              <w:rPr>
                <w:rFonts w:ascii="Arial" w:hAnsi="Arial" w:cs="Arial"/>
                <w:b/>
                <w:sz w:val="22"/>
                <w:szCs w:val="22"/>
              </w:rPr>
              <w:t>dal 2008 al 2014, il settore delle costruzioni ha perso il 32% degli investimenti pari a circa 64 miliardi di euro</w:t>
            </w:r>
            <w:r w:rsidRPr="0074560A">
              <w:rPr>
                <w:rFonts w:ascii="Arial" w:hAnsi="Arial" w:cs="Arial"/>
                <w:sz w:val="22"/>
                <w:szCs w:val="22"/>
              </w:rPr>
              <w:t>. La nuova edilizia abitativa segna una riduzione del 62,3%, l’edilizia non res</w:t>
            </w:r>
            <w:r w:rsidRPr="0074560A">
              <w:rPr>
                <w:rFonts w:ascii="Arial" w:hAnsi="Arial" w:cs="Arial"/>
                <w:sz w:val="22"/>
                <w:szCs w:val="22"/>
              </w:rPr>
              <w:t>i</w:t>
            </w:r>
            <w:r w:rsidRPr="0074560A">
              <w:rPr>
                <w:rFonts w:ascii="Arial" w:hAnsi="Arial" w:cs="Arial"/>
                <w:sz w:val="22"/>
                <w:szCs w:val="22"/>
              </w:rPr>
              <w:t>denziale privata del 23,6%, mentre le opere pubbliche registrano una flessione del 48,1%. In questo comparto produttivo la caduta è inizi</w:t>
            </w:r>
            <w:r w:rsidRPr="0074560A">
              <w:rPr>
                <w:rFonts w:ascii="Arial" w:hAnsi="Arial" w:cs="Arial"/>
                <w:sz w:val="22"/>
                <w:szCs w:val="22"/>
              </w:rPr>
              <w:t>a</w:t>
            </w:r>
            <w:r w:rsidRPr="0074560A">
              <w:rPr>
                <w:rFonts w:ascii="Arial" w:hAnsi="Arial" w:cs="Arial"/>
                <w:sz w:val="22"/>
                <w:szCs w:val="22"/>
              </w:rPr>
              <w:t>ta già a partire dal 2005 con una flessione complessiva del 54,1%.</w:t>
            </w:r>
          </w:p>
          <w:p w:rsidR="002144CB" w:rsidRPr="0074560A" w:rsidRDefault="002144CB" w:rsidP="005A5217">
            <w:pPr>
              <w:spacing w:after="80"/>
              <w:jc w:val="both"/>
              <w:rPr>
                <w:rFonts w:ascii="Arial" w:hAnsi="Arial" w:cs="Arial"/>
                <w:sz w:val="22"/>
                <w:szCs w:val="22"/>
              </w:rPr>
            </w:pPr>
            <w:r w:rsidRPr="0074560A">
              <w:rPr>
                <w:rFonts w:ascii="Arial" w:hAnsi="Arial" w:cs="Arial"/>
                <w:sz w:val="22"/>
                <w:szCs w:val="22"/>
              </w:rPr>
              <w:t xml:space="preserve">Solo gli investimenti in riqualificazione del patrimonio abitativo dal 2008 al 2014 mostrano un aumento dei livelli produttivi del 18,5% grazie anche all’effetto di stimolo derivante </w:t>
            </w:r>
            <w:r w:rsidR="005A5217">
              <w:rPr>
                <w:rFonts w:ascii="Arial" w:hAnsi="Arial" w:cs="Arial"/>
                <w:sz w:val="22"/>
                <w:szCs w:val="22"/>
              </w:rPr>
              <w:t>da</w:t>
            </w:r>
            <w:r w:rsidRPr="0074560A">
              <w:rPr>
                <w:rFonts w:ascii="Arial" w:hAnsi="Arial" w:cs="Arial"/>
                <w:sz w:val="22"/>
                <w:szCs w:val="22"/>
              </w:rPr>
              <w:t>gli incentivi fiscali per le ristrutturazioni edilizie e risparmio energetico. Senza l’apporto di qu</w:t>
            </w:r>
            <w:r w:rsidRPr="0074560A">
              <w:rPr>
                <w:rFonts w:ascii="Arial" w:hAnsi="Arial" w:cs="Arial"/>
                <w:sz w:val="22"/>
                <w:szCs w:val="22"/>
              </w:rPr>
              <w:t>e</w:t>
            </w:r>
            <w:r w:rsidRPr="0074560A">
              <w:rPr>
                <w:rFonts w:ascii="Arial" w:hAnsi="Arial" w:cs="Arial"/>
                <w:sz w:val="22"/>
                <w:szCs w:val="22"/>
              </w:rPr>
              <w:t>sto comparto, la caduta degli investimenti in costruzioni avrebbe ra</w:t>
            </w:r>
            <w:r w:rsidRPr="0074560A">
              <w:rPr>
                <w:rFonts w:ascii="Arial" w:hAnsi="Arial" w:cs="Arial"/>
                <w:sz w:val="22"/>
                <w:szCs w:val="22"/>
              </w:rPr>
              <w:t>g</w:t>
            </w:r>
            <w:r w:rsidRPr="0074560A">
              <w:rPr>
                <w:rFonts w:ascii="Arial" w:hAnsi="Arial" w:cs="Arial"/>
                <w:sz w:val="22"/>
                <w:szCs w:val="22"/>
              </w:rPr>
              <w:t>giunto il 44,2%.</w:t>
            </w:r>
          </w:p>
          <w:p w:rsidR="00A16BCD" w:rsidRPr="0074560A" w:rsidRDefault="002144CB" w:rsidP="005A5217">
            <w:pPr>
              <w:spacing w:after="80"/>
              <w:jc w:val="both"/>
              <w:rPr>
                <w:rFonts w:ascii="Arial" w:hAnsi="Arial" w:cs="Arial"/>
                <w:sz w:val="22"/>
                <w:szCs w:val="22"/>
              </w:rPr>
            </w:pPr>
            <w:r w:rsidRPr="0074560A">
              <w:rPr>
                <w:rFonts w:ascii="Arial" w:hAnsi="Arial" w:cs="Arial"/>
                <w:sz w:val="22"/>
                <w:szCs w:val="22"/>
              </w:rPr>
              <w:t>Per il 2015 si stima un’ulteriore riduzione degli investimenti che, se</w:t>
            </w:r>
            <w:r w:rsidRPr="0074560A">
              <w:rPr>
                <w:rFonts w:ascii="Arial" w:hAnsi="Arial" w:cs="Arial"/>
                <w:sz w:val="22"/>
                <w:szCs w:val="22"/>
              </w:rPr>
              <w:t>p</w:t>
            </w:r>
            <w:r w:rsidRPr="0074560A">
              <w:rPr>
                <w:rFonts w:ascii="Arial" w:hAnsi="Arial" w:cs="Arial"/>
                <w:sz w:val="22"/>
                <w:szCs w:val="22"/>
              </w:rPr>
              <w:t>pur più contenuta rispetto agli anni precedenti, si colloca sul -2,4%.</w:t>
            </w:r>
          </w:p>
        </w:tc>
      </w:tr>
      <w:tr w:rsidR="00EA15BA" w:rsidRPr="00C048ED" w:rsidTr="00F9585C">
        <w:trPr>
          <w:jc w:val="center"/>
        </w:trPr>
        <w:tc>
          <w:tcPr>
            <w:tcW w:w="1644" w:type="dxa"/>
            <w:tcBorders>
              <w:top w:val="nil"/>
              <w:left w:val="nil"/>
              <w:bottom w:val="nil"/>
              <w:right w:val="nil"/>
            </w:tcBorders>
            <w:shd w:val="clear" w:color="auto" w:fill="auto"/>
          </w:tcPr>
          <w:p w:rsidR="00EA15BA" w:rsidRPr="0033013A" w:rsidRDefault="00EA15BA" w:rsidP="004E25A3">
            <w:pPr>
              <w:suppressAutoHyphens/>
              <w:spacing w:after="120"/>
              <w:rPr>
                <w:rFonts w:ascii="Arial" w:hAnsi="Arial" w:cs="Arial"/>
                <w:b/>
                <w:color w:val="000080"/>
                <w:szCs w:val="18"/>
              </w:rPr>
            </w:pPr>
          </w:p>
        </w:tc>
        <w:tc>
          <w:tcPr>
            <w:tcW w:w="7022" w:type="dxa"/>
            <w:tcBorders>
              <w:top w:val="nil"/>
              <w:left w:val="nil"/>
              <w:bottom w:val="nil"/>
              <w:right w:val="nil"/>
            </w:tcBorders>
            <w:shd w:val="clear" w:color="auto" w:fill="auto"/>
          </w:tcPr>
          <w:p w:rsidR="00EA15BA" w:rsidRPr="00C37167" w:rsidRDefault="00A16BCD" w:rsidP="004E25A3">
            <w:pPr>
              <w:pStyle w:val="NormaleWeb"/>
              <w:spacing w:after="120"/>
              <w:jc w:val="center"/>
              <w:rPr>
                <w:rFonts w:ascii="Arial" w:hAnsi="Arial" w:cs="Arial"/>
                <w:b/>
                <w:sz w:val="22"/>
                <w:szCs w:val="22"/>
              </w:rPr>
            </w:pPr>
            <w:r>
              <w:rPr>
                <w:rFonts w:ascii="Arial" w:hAnsi="Arial" w:cs="Arial"/>
                <w:b/>
                <w:noProof/>
                <w:sz w:val="22"/>
                <w:szCs w:val="22"/>
              </w:rPr>
              <w:drawing>
                <wp:inline distT="0" distB="0" distL="0" distR="0" wp14:anchorId="791EBC76" wp14:editId="2B30FEAB">
                  <wp:extent cx="3705225" cy="2650095"/>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7705" cy="2651869"/>
                          </a:xfrm>
                          <a:prstGeom prst="rect">
                            <a:avLst/>
                          </a:prstGeom>
                          <a:noFill/>
                          <a:ln>
                            <a:noFill/>
                          </a:ln>
                        </pic:spPr>
                      </pic:pic>
                    </a:graphicData>
                  </a:graphic>
                </wp:inline>
              </w:drawing>
            </w:r>
          </w:p>
        </w:tc>
      </w:tr>
      <w:tr w:rsidR="00EA15BA" w:rsidRPr="00C048ED" w:rsidTr="00F9585C">
        <w:trPr>
          <w:jc w:val="center"/>
        </w:trPr>
        <w:tc>
          <w:tcPr>
            <w:tcW w:w="1644" w:type="dxa"/>
            <w:tcBorders>
              <w:top w:val="nil"/>
              <w:left w:val="nil"/>
              <w:bottom w:val="nil"/>
              <w:right w:val="nil"/>
            </w:tcBorders>
            <w:shd w:val="clear" w:color="auto" w:fill="auto"/>
          </w:tcPr>
          <w:p w:rsidR="00EA15BA" w:rsidRPr="0033013A" w:rsidRDefault="00EA15BA" w:rsidP="00A467E7">
            <w:pPr>
              <w:suppressAutoHyphens/>
              <w:spacing w:after="120"/>
              <w:rPr>
                <w:rFonts w:ascii="Arial" w:hAnsi="Arial" w:cs="Arial"/>
                <w:b/>
                <w:color w:val="000080"/>
                <w:szCs w:val="18"/>
              </w:rPr>
            </w:pPr>
          </w:p>
        </w:tc>
        <w:tc>
          <w:tcPr>
            <w:tcW w:w="7022" w:type="dxa"/>
            <w:tcBorders>
              <w:top w:val="nil"/>
              <w:left w:val="nil"/>
              <w:bottom w:val="nil"/>
              <w:right w:val="nil"/>
            </w:tcBorders>
            <w:shd w:val="clear" w:color="auto" w:fill="auto"/>
          </w:tcPr>
          <w:p w:rsidR="00EA15BA" w:rsidRDefault="00EA15BA" w:rsidP="005A5217">
            <w:pPr>
              <w:spacing w:after="80"/>
              <w:jc w:val="both"/>
              <w:rPr>
                <w:rFonts w:ascii="Arial" w:eastAsia="Calibri" w:hAnsi="Arial"/>
                <w:b/>
                <w:sz w:val="22"/>
                <w:szCs w:val="22"/>
                <w:lang w:eastAsia="en-US"/>
              </w:rPr>
            </w:pPr>
            <w:r>
              <w:rPr>
                <w:rFonts w:ascii="Arial" w:eastAsia="Calibri" w:hAnsi="Arial"/>
                <w:sz w:val="22"/>
                <w:szCs w:val="22"/>
                <w:lang w:eastAsia="en-US"/>
              </w:rPr>
              <w:t>La caduta dei livelli produttivi nel settore ha inciso sensibilmente sull</w:t>
            </w:r>
            <w:r w:rsidRPr="00783F1C">
              <w:rPr>
                <w:rFonts w:ascii="Arial" w:eastAsia="Calibri" w:hAnsi="Arial"/>
                <w:sz w:val="22"/>
                <w:szCs w:val="22"/>
                <w:lang w:eastAsia="en-US"/>
              </w:rPr>
              <w:t xml:space="preserve">’occupazione: </w:t>
            </w:r>
            <w:r w:rsidRPr="00C82303">
              <w:rPr>
                <w:rFonts w:ascii="Arial" w:eastAsia="Calibri" w:hAnsi="Arial"/>
                <w:b/>
                <w:sz w:val="22"/>
                <w:szCs w:val="22"/>
                <w:lang w:eastAsia="en-US"/>
              </w:rPr>
              <w:t xml:space="preserve">dall’inizio della crisi, i posti di lavoro </w:t>
            </w:r>
            <w:r>
              <w:rPr>
                <w:rFonts w:ascii="Arial" w:eastAsia="Calibri" w:hAnsi="Arial"/>
                <w:b/>
                <w:sz w:val="22"/>
                <w:szCs w:val="22"/>
                <w:lang w:eastAsia="en-US"/>
              </w:rPr>
              <w:t>persi nelle costruzioni sono 529</w:t>
            </w:r>
            <w:r w:rsidRPr="00C82303">
              <w:rPr>
                <w:rFonts w:ascii="Arial" w:eastAsia="Calibri" w:hAnsi="Arial"/>
                <w:b/>
                <w:sz w:val="22"/>
                <w:szCs w:val="22"/>
                <w:lang w:eastAsia="en-US"/>
              </w:rPr>
              <w:t xml:space="preserve">.000 che raggiungono </w:t>
            </w:r>
            <w:r>
              <w:rPr>
                <w:rFonts w:ascii="Arial" w:eastAsia="Calibri" w:hAnsi="Arial"/>
                <w:b/>
                <w:sz w:val="22"/>
                <w:szCs w:val="22"/>
                <w:lang w:eastAsia="en-US"/>
              </w:rPr>
              <w:t>circa 800</w:t>
            </w:r>
            <w:r w:rsidRPr="00C82303">
              <w:rPr>
                <w:rFonts w:ascii="Arial" w:eastAsia="Calibri" w:hAnsi="Arial"/>
                <w:b/>
                <w:sz w:val="22"/>
                <w:szCs w:val="22"/>
                <w:lang w:eastAsia="en-US"/>
              </w:rPr>
              <w:t xml:space="preserve">.000 unità </w:t>
            </w:r>
            <w:r w:rsidRPr="00D71F3C">
              <w:rPr>
                <w:rFonts w:ascii="Arial" w:eastAsia="Calibri" w:hAnsi="Arial"/>
                <w:sz w:val="22"/>
                <w:szCs w:val="22"/>
                <w:lang w:eastAsia="en-US"/>
              </w:rPr>
              <w:t>considerando anche i settori collegati.</w:t>
            </w:r>
            <w:r w:rsidRPr="00C82303">
              <w:rPr>
                <w:rFonts w:ascii="Arial" w:eastAsia="Calibri" w:hAnsi="Arial"/>
                <w:b/>
                <w:sz w:val="22"/>
                <w:szCs w:val="22"/>
                <w:lang w:eastAsia="en-US"/>
              </w:rPr>
              <w:t xml:space="preserve">  </w:t>
            </w:r>
          </w:p>
          <w:p w:rsidR="00EA15BA" w:rsidRPr="005E41BE" w:rsidRDefault="00EA15BA" w:rsidP="005A5217">
            <w:pPr>
              <w:spacing w:after="80"/>
              <w:jc w:val="both"/>
            </w:pPr>
            <w:r w:rsidRPr="00B67E49">
              <w:rPr>
                <w:rFonts w:ascii="Arial" w:eastAsia="Calibri" w:hAnsi="Arial"/>
                <w:sz w:val="22"/>
                <w:szCs w:val="22"/>
                <w:lang w:eastAsia="en-US"/>
              </w:rPr>
              <w:t xml:space="preserve">Molto rilevanti sono anche le perdite in termini di imprese: </w:t>
            </w:r>
            <w:r w:rsidRPr="00B67E49">
              <w:rPr>
                <w:rFonts w:ascii="Arial" w:eastAsia="Calibri" w:hAnsi="Arial"/>
                <w:b/>
                <w:sz w:val="22"/>
                <w:szCs w:val="22"/>
                <w:lang w:eastAsia="en-US"/>
              </w:rPr>
              <w:t>tra il 2008 e il 2013 sono uscite dal settore delle costruzioni circa 68.000 imprese con oltre un addetto</w:t>
            </w:r>
            <w:r w:rsidR="00A16BCD">
              <w:rPr>
                <w:rFonts w:ascii="Arial" w:eastAsia="Calibri" w:hAnsi="Arial"/>
                <w:b/>
                <w:sz w:val="22"/>
                <w:szCs w:val="22"/>
                <w:lang w:eastAsia="en-US"/>
              </w:rPr>
              <w:t xml:space="preserve"> (-24,5%)</w:t>
            </w:r>
            <w:r w:rsidRPr="00B67E49">
              <w:rPr>
                <w:rFonts w:ascii="Arial" w:eastAsia="Calibri" w:hAnsi="Arial"/>
                <w:b/>
                <w:sz w:val="22"/>
                <w:szCs w:val="22"/>
                <w:lang w:eastAsia="en-US"/>
              </w:rPr>
              <w:t>.</w:t>
            </w:r>
          </w:p>
        </w:tc>
      </w:tr>
      <w:tr w:rsidR="00237CA7" w:rsidRPr="00C048ED" w:rsidTr="00F9585C">
        <w:trPr>
          <w:jc w:val="center"/>
        </w:trPr>
        <w:tc>
          <w:tcPr>
            <w:tcW w:w="1644" w:type="dxa"/>
            <w:tcBorders>
              <w:top w:val="nil"/>
              <w:left w:val="nil"/>
              <w:bottom w:val="nil"/>
              <w:right w:val="nil"/>
            </w:tcBorders>
            <w:shd w:val="clear" w:color="auto" w:fill="auto"/>
          </w:tcPr>
          <w:p w:rsidR="00237CA7" w:rsidRPr="00A93677" w:rsidRDefault="00881202" w:rsidP="00237CA7">
            <w:pPr>
              <w:suppressAutoHyphens/>
              <w:rPr>
                <w:rFonts w:ascii="Arial" w:hAnsi="Arial" w:cs="Arial"/>
                <w:b/>
                <w:color w:val="000080"/>
              </w:rPr>
            </w:pPr>
            <w:r>
              <w:rPr>
                <w:rFonts w:ascii="Arial" w:hAnsi="Arial" w:cs="Arial"/>
                <w:b/>
                <w:color w:val="000080"/>
              </w:rPr>
              <w:t xml:space="preserve"> </w:t>
            </w:r>
          </w:p>
        </w:tc>
        <w:tc>
          <w:tcPr>
            <w:tcW w:w="7022" w:type="dxa"/>
            <w:tcBorders>
              <w:top w:val="nil"/>
              <w:left w:val="nil"/>
              <w:bottom w:val="nil"/>
              <w:right w:val="nil"/>
            </w:tcBorders>
            <w:shd w:val="clear" w:color="auto" w:fill="auto"/>
          </w:tcPr>
          <w:p w:rsidR="00237CA7" w:rsidRDefault="00237CA7" w:rsidP="005A5217">
            <w:pPr>
              <w:spacing w:after="80"/>
              <w:jc w:val="both"/>
              <w:rPr>
                <w:rFonts w:ascii="Arial" w:hAnsi="Arial" w:cs="Arial"/>
                <w:sz w:val="22"/>
                <w:szCs w:val="22"/>
              </w:rPr>
            </w:pPr>
            <w:r w:rsidRPr="00B67E49">
              <w:rPr>
                <w:rFonts w:ascii="Arial" w:eastAsia="Calibri" w:hAnsi="Arial"/>
                <w:sz w:val="22"/>
                <w:szCs w:val="22"/>
                <w:lang w:eastAsia="en-US"/>
              </w:rPr>
              <w:t>In questo contesto ancora negativo sul fronte della produzione per il settore, emergono tuttavia, alcuni segnali positivi, in termini di numero di compravendite di unità immobiliari residenziali (+3,6% nel 2014 r</w:t>
            </w:r>
            <w:r w:rsidRPr="00B67E49">
              <w:rPr>
                <w:rFonts w:ascii="Arial" w:eastAsia="Calibri" w:hAnsi="Arial"/>
                <w:sz w:val="22"/>
                <w:szCs w:val="22"/>
                <w:lang w:eastAsia="en-US"/>
              </w:rPr>
              <w:t>i</w:t>
            </w:r>
            <w:r w:rsidRPr="00B67E49">
              <w:rPr>
                <w:rFonts w:ascii="Arial" w:eastAsia="Calibri" w:hAnsi="Arial"/>
                <w:sz w:val="22"/>
                <w:szCs w:val="22"/>
                <w:lang w:eastAsia="en-US"/>
              </w:rPr>
              <w:t>spetto al 2013)</w:t>
            </w:r>
            <w:r w:rsidR="00881202">
              <w:rPr>
                <w:rFonts w:ascii="Arial" w:eastAsia="Calibri" w:hAnsi="Arial"/>
                <w:sz w:val="22"/>
                <w:szCs w:val="22"/>
                <w:lang w:eastAsia="en-US"/>
              </w:rPr>
              <w:t>,</w:t>
            </w:r>
            <w:r>
              <w:rPr>
                <w:rFonts w:ascii="Arial" w:eastAsia="Calibri" w:hAnsi="Arial"/>
                <w:sz w:val="22"/>
                <w:szCs w:val="22"/>
                <w:lang w:eastAsia="en-US"/>
              </w:rPr>
              <w:t xml:space="preserve"> </w:t>
            </w:r>
            <w:r w:rsidRPr="00B67E49">
              <w:rPr>
                <w:rFonts w:ascii="Arial" w:eastAsia="Calibri" w:hAnsi="Arial"/>
                <w:sz w:val="22"/>
                <w:szCs w:val="22"/>
                <w:lang w:eastAsia="en-US"/>
              </w:rPr>
              <w:t xml:space="preserve">di erogazioni di mutui alle </w:t>
            </w:r>
            <w:r w:rsidRPr="000366AE">
              <w:rPr>
                <w:rFonts w:ascii="Arial" w:eastAsia="Calibri" w:hAnsi="Arial"/>
                <w:sz w:val="22"/>
                <w:szCs w:val="22"/>
                <w:lang w:eastAsia="en-US"/>
              </w:rPr>
              <w:t xml:space="preserve">famiglie </w:t>
            </w:r>
            <w:r w:rsidRPr="00004FE6">
              <w:rPr>
                <w:rFonts w:ascii="Arial" w:eastAsia="Calibri" w:hAnsi="Arial"/>
                <w:sz w:val="22"/>
                <w:szCs w:val="22"/>
                <w:lang w:eastAsia="en-US"/>
              </w:rPr>
              <w:t>(+13,7%</w:t>
            </w:r>
            <w:r>
              <w:rPr>
                <w:rFonts w:ascii="Arial" w:eastAsia="Calibri" w:hAnsi="Arial"/>
                <w:sz w:val="22"/>
                <w:szCs w:val="22"/>
                <w:lang w:eastAsia="en-US"/>
              </w:rPr>
              <w:t xml:space="preserve"> </w:t>
            </w:r>
            <w:r w:rsidR="00881202">
              <w:rPr>
                <w:rFonts w:ascii="Arial" w:eastAsia="Calibri" w:hAnsi="Arial"/>
                <w:sz w:val="22"/>
                <w:szCs w:val="22"/>
                <w:lang w:eastAsia="en-US"/>
              </w:rPr>
              <w:t>n</w:t>
            </w:r>
            <w:r>
              <w:rPr>
                <w:rFonts w:ascii="Arial" w:eastAsia="Calibri" w:hAnsi="Arial"/>
                <w:sz w:val="22"/>
                <w:szCs w:val="22"/>
                <w:lang w:eastAsia="en-US"/>
              </w:rPr>
              <w:t>el 2014 nel confronto con il 2013</w:t>
            </w:r>
            <w:r w:rsidRPr="00004FE6">
              <w:rPr>
                <w:rFonts w:ascii="Arial" w:eastAsia="Calibri" w:hAnsi="Arial"/>
                <w:sz w:val="22"/>
                <w:szCs w:val="22"/>
                <w:lang w:eastAsia="en-US"/>
              </w:rPr>
              <w:t>)</w:t>
            </w:r>
            <w:r w:rsidR="00881202">
              <w:rPr>
                <w:rFonts w:ascii="Arial" w:eastAsia="Calibri" w:hAnsi="Arial"/>
                <w:sz w:val="22"/>
                <w:szCs w:val="22"/>
                <w:lang w:eastAsia="en-US"/>
              </w:rPr>
              <w:t xml:space="preserve"> e nei bandi di gara per lavori pubblici (+30,3% in numero e +18,6% in valore</w:t>
            </w:r>
            <w:r w:rsidR="00CC3AB9">
              <w:rPr>
                <w:rFonts w:ascii="Arial" w:eastAsia="Calibri" w:hAnsi="Arial"/>
                <w:sz w:val="22"/>
                <w:szCs w:val="22"/>
                <w:lang w:eastAsia="en-US"/>
              </w:rPr>
              <w:t xml:space="preserve"> nel 2014</w:t>
            </w:r>
            <w:r w:rsidR="00881202">
              <w:rPr>
                <w:rFonts w:ascii="Arial" w:eastAsia="Calibri" w:hAnsi="Arial"/>
                <w:sz w:val="22"/>
                <w:szCs w:val="22"/>
                <w:lang w:eastAsia="en-US"/>
              </w:rPr>
              <w:t xml:space="preserve">). </w:t>
            </w:r>
          </w:p>
        </w:tc>
      </w:tr>
      <w:tr w:rsidR="00AC035B" w:rsidRPr="00C048ED" w:rsidTr="00F9585C">
        <w:trPr>
          <w:jc w:val="center"/>
        </w:trPr>
        <w:tc>
          <w:tcPr>
            <w:tcW w:w="1644" w:type="dxa"/>
            <w:tcBorders>
              <w:top w:val="nil"/>
              <w:left w:val="nil"/>
              <w:bottom w:val="nil"/>
              <w:right w:val="nil"/>
            </w:tcBorders>
            <w:shd w:val="clear" w:color="auto" w:fill="auto"/>
          </w:tcPr>
          <w:p w:rsidR="00AC035B" w:rsidRPr="00143070" w:rsidRDefault="00AC035B" w:rsidP="0050092E">
            <w:pPr>
              <w:rPr>
                <w:rFonts w:ascii="Arial" w:hAnsi="Arial" w:cs="Arial"/>
                <w:b/>
                <w:color w:val="000080"/>
              </w:rPr>
            </w:pPr>
            <w:r w:rsidRPr="00143070">
              <w:rPr>
                <w:rFonts w:ascii="Arial" w:hAnsi="Arial" w:cs="Arial"/>
                <w:b/>
                <w:color w:val="000080"/>
              </w:rPr>
              <w:t xml:space="preserve">In </w:t>
            </w:r>
            <w:r w:rsidR="0050092E">
              <w:rPr>
                <w:rFonts w:ascii="Arial" w:hAnsi="Arial" w:cs="Arial"/>
                <w:b/>
                <w:color w:val="000080"/>
              </w:rPr>
              <w:t>Emilia-Romagna</w:t>
            </w:r>
            <w:r w:rsidRPr="00143070">
              <w:rPr>
                <w:rFonts w:ascii="Arial" w:hAnsi="Arial" w:cs="Arial"/>
                <w:b/>
                <w:color w:val="000080"/>
              </w:rPr>
              <w:t xml:space="preserve"> nel 2014 l’economia manifesta un primo lieve segnale pos</w:t>
            </w:r>
            <w:r w:rsidRPr="00143070">
              <w:rPr>
                <w:rFonts w:ascii="Arial" w:hAnsi="Arial" w:cs="Arial"/>
                <w:b/>
                <w:color w:val="000080"/>
              </w:rPr>
              <w:t>i</w:t>
            </w:r>
            <w:r w:rsidRPr="00143070">
              <w:rPr>
                <w:rFonts w:ascii="Arial" w:hAnsi="Arial" w:cs="Arial"/>
                <w:b/>
                <w:color w:val="000080"/>
              </w:rPr>
              <w:t>tivo, che si ra</w:t>
            </w:r>
            <w:r w:rsidRPr="00143070">
              <w:rPr>
                <w:rFonts w:ascii="Arial" w:hAnsi="Arial" w:cs="Arial"/>
                <w:b/>
                <w:color w:val="000080"/>
              </w:rPr>
              <w:t>f</w:t>
            </w:r>
            <w:r w:rsidRPr="00143070">
              <w:rPr>
                <w:rFonts w:ascii="Arial" w:hAnsi="Arial" w:cs="Arial"/>
                <w:b/>
                <w:color w:val="000080"/>
              </w:rPr>
              <w:t xml:space="preserve">forza nel 2015   </w:t>
            </w:r>
          </w:p>
        </w:tc>
        <w:tc>
          <w:tcPr>
            <w:tcW w:w="7022" w:type="dxa"/>
            <w:tcBorders>
              <w:top w:val="nil"/>
              <w:left w:val="nil"/>
              <w:bottom w:val="nil"/>
              <w:right w:val="nil"/>
            </w:tcBorders>
            <w:shd w:val="clear" w:color="auto" w:fill="auto"/>
          </w:tcPr>
          <w:p w:rsidR="00A16BCD" w:rsidRDefault="00AC035B" w:rsidP="005A5217">
            <w:pPr>
              <w:spacing w:after="80"/>
              <w:jc w:val="both"/>
              <w:rPr>
                <w:rFonts w:ascii="Arial" w:eastAsia="Calibri" w:hAnsi="Arial"/>
                <w:sz w:val="22"/>
                <w:szCs w:val="22"/>
                <w:lang w:eastAsia="en-US"/>
              </w:rPr>
            </w:pPr>
            <w:r w:rsidRPr="0050092E">
              <w:rPr>
                <w:rFonts w:ascii="Arial" w:eastAsia="Calibri" w:hAnsi="Arial"/>
                <w:sz w:val="22"/>
                <w:szCs w:val="22"/>
                <w:lang w:eastAsia="en-US"/>
              </w:rPr>
              <w:t xml:space="preserve">In </w:t>
            </w:r>
            <w:r w:rsidR="0050092E">
              <w:rPr>
                <w:rFonts w:ascii="Arial" w:eastAsia="Calibri" w:hAnsi="Arial"/>
                <w:sz w:val="22"/>
                <w:szCs w:val="22"/>
                <w:lang w:eastAsia="en-US"/>
              </w:rPr>
              <w:t>Emilia-Romagna</w:t>
            </w:r>
            <w:r w:rsidRPr="0050092E">
              <w:rPr>
                <w:rFonts w:ascii="Arial" w:eastAsia="Calibri" w:hAnsi="Arial"/>
                <w:sz w:val="22"/>
                <w:szCs w:val="22"/>
                <w:lang w:eastAsia="en-US"/>
              </w:rPr>
              <w:t>, l'economia, che rappresenta l</w:t>
            </w:r>
            <w:r w:rsidR="00CF0BF7">
              <w:rPr>
                <w:rFonts w:ascii="Arial" w:eastAsia="Calibri" w:hAnsi="Arial"/>
                <w:sz w:val="22"/>
                <w:szCs w:val="22"/>
                <w:lang w:eastAsia="en-US"/>
              </w:rPr>
              <w:t>’8</w:t>
            </w:r>
            <w:r w:rsidRPr="0050092E">
              <w:rPr>
                <w:rFonts w:ascii="Arial" w:eastAsia="Calibri" w:hAnsi="Arial"/>
                <w:sz w:val="22"/>
                <w:szCs w:val="22"/>
                <w:lang w:eastAsia="en-US"/>
              </w:rPr>
              <w:t>,</w:t>
            </w:r>
            <w:r w:rsidR="00CF0BF7">
              <w:rPr>
                <w:rFonts w:ascii="Arial" w:eastAsia="Calibri" w:hAnsi="Arial"/>
                <w:sz w:val="22"/>
                <w:szCs w:val="22"/>
                <w:lang w:eastAsia="en-US"/>
              </w:rPr>
              <w:t>9</w:t>
            </w:r>
            <w:r w:rsidRPr="0050092E">
              <w:rPr>
                <w:rFonts w:ascii="Arial" w:eastAsia="Calibri" w:hAnsi="Arial"/>
                <w:sz w:val="22"/>
                <w:szCs w:val="22"/>
                <w:lang w:eastAsia="en-US"/>
              </w:rPr>
              <w:t xml:space="preserve">% del </w:t>
            </w:r>
            <w:proofErr w:type="spellStart"/>
            <w:r w:rsidRPr="0050092E">
              <w:rPr>
                <w:rFonts w:ascii="Arial" w:eastAsia="Calibri" w:hAnsi="Arial"/>
                <w:sz w:val="22"/>
                <w:szCs w:val="22"/>
                <w:lang w:eastAsia="en-US"/>
              </w:rPr>
              <w:t>Pil</w:t>
            </w:r>
            <w:proofErr w:type="spellEnd"/>
            <w:r w:rsidRPr="0050092E">
              <w:rPr>
                <w:rFonts w:ascii="Arial" w:eastAsia="Calibri" w:hAnsi="Arial"/>
                <w:sz w:val="22"/>
                <w:szCs w:val="22"/>
                <w:lang w:eastAsia="en-US"/>
              </w:rPr>
              <w:t xml:space="preserve"> nazi</w:t>
            </w:r>
            <w:r w:rsidRPr="0050092E">
              <w:rPr>
                <w:rFonts w:ascii="Arial" w:eastAsia="Calibri" w:hAnsi="Arial"/>
                <w:sz w:val="22"/>
                <w:szCs w:val="22"/>
                <w:lang w:eastAsia="en-US"/>
              </w:rPr>
              <w:t>o</w:t>
            </w:r>
            <w:r w:rsidR="00E36202">
              <w:rPr>
                <w:rFonts w:ascii="Arial" w:eastAsia="Calibri" w:hAnsi="Arial"/>
                <w:sz w:val="22"/>
                <w:szCs w:val="22"/>
                <w:lang w:eastAsia="en-US"/>
              </w:rPr>
              <w:t xml:space="preserve">nale </w:t>
            </w:r>
            <w:r w:rsidRPr="0050092E">
              <w:rPr>
                <w:rFonts w:ascii="Arial" w:eastAsia="Calibri" w:hAnsi="Arial"/>
                <w:sz w:val="22"/>
                <w:szCs w:val="22"/>
                <w:lang w:eastAsia="en-US"/>
              </w:rPr>
              <w:t>manifesta</w:t>
            </w:r>
            <w:r w:rsidR="00E36202">
              <w:rPr>
                <w:rFonts w:ascii="Arial" w:eastAsia="Calibri" w:hAnsi="Arial"/>
                <w:sz w:val="22"/>
                <w:szCs w:val="22"/>
                <w:lang w:eastAsia="en-US"/>
              </w:rPr>
              <w:t>,</w:t>
            </w:r>
            <w:r w:rsidRPr="0050092E">
              <w:rPr>
                <w:rFonts w:ascii="Arial" w:eastAsia="Calibri" w:hAnsi="Arial"/>
                <w:sz w:val="22"/>
                <w:szCs w:val="22"/>
                <w:lang w:eastAsia="en-US"/>
              </w:rPr>
              <w:t xml:space="preserve"> </w:t>
            </w:r>
            <w:r w:rsidR="00E36202" w:rsidRPr="0050092E">
              <w:rPr>
                <w:rFonts w:ascii="Arial" w:eastAsia="Calibri" w:hAnsi="Arial"/>
                <w:sz w:val="22"/>
                <w:szCs w:val="22"/>
                <w:lang w:eastAsia="en-US"/>
              </w:rPr>
              <w:t xml:space="preserve">nel 2014, </w:t>
            </w:r>
            <w:r w:rsidR="00A16BCD">
              <w:rPr>
                <w:rFonts w:ascii="Arial" w:eastAsia="Calibri" w:hAnsi="Arial"/>
                <w:sz w:val="22"/>
                <w:szCs w:val="22"/>
                <w:lang w:eastAsia="en-US"/>
              </w:rPr>
              <w:t xml:space="preserve">secondo le stime </w:t>
            </w:r>
            <w:proofErr w:type="spellStart"/>
            <w:r w:rsidR="00A16BCD" w:rsidRPr="00A16BCD">
              <w:rPr>
                <w:rFonts w:ascii="Arial" w:eastAsia="Calibri" w:hAnsi="Arial"/>
                <w:sz w:val="22"/>
                <w:szCs w:val="22"/>
                <w:lang w:eastAsia="en-US"/>
              </w:rPr>
              <w:t>Prome</w:t>
            </w:r>
            <w:r w:rsidR="00A16BCD">
              <w:rPr>
                <w:rFonts w:ascii="Arial" w:eastAsia="Calibri" w:hAnsi="Arial"/>
                <w:sz w:val="22"/>
                <w:szCs w:val="22"/>
                <w:lang w:eastAsia="en-US"/>
              </w:rPr>
              <w:t>teia</w:t>
            </w:r>
            <w:proofErr w:type="spellEnd"/>
            <w:r w:rsidR="00A16BCD">
              <w:rPr>
                <w:rFonts w:ascii="Arial" w:eastAsia="Calibri" w:hAnsi="Arial"/>
                <w:sz w:val="22"/>
                <w:szCs w:val="22"/>
                <w:lang w:eastAsia="en-US"/>
              </w:rPr>
              <w:t>-</w:t>
            </w:r>
            <w:proofErr w:type="spellStart"/>
            <w:r w:rsidR="00A16BCD">
              <w:rPr>
                <w:rFonts w:ascii="Arial" w:eastAsia="Calibri" w:hAnsi="Arial"/>
                <w:sz w:val="22"/>
                <w:szCs w:val="22"/>
                <w:lang w:eastAsia="en-US"/>
              </w:rPr>
              <w:t>Uniocamere</w:t>
            </w:r>
            <w:proofErr w:type="spellEnd"/>
            <w:r w:rsidR="00A16BCD">
              <w:rPr>
                <w:rFonts w:ascii="Arial" w:eastAsia="Calibri" w:hAnsi="Arial"/>
                <w:sz w:val="22"/>
                <w:szCs w:val="22"/>
                <w:lang w:eastAsia="en-US"/>
              </w:rPr>
              <w:t>-Emilia-Romagna di</w:t>
            </w:r>
            <w:r w:rsidR="00A16BCD" w:rsidRPr="00A16BCD">
              <w:rPr>
                <w:rFonts w:ascii="Arial" w:eastAsia="Calibri" w:hAnsi="Arial"/>
                <w:sz w:val="22"/>
                <w:szCs w:val="22"/>
                <w:lang w:eastAsia="en-US"/>
              </w:rPr>
              <w:t xml:space="preserve"> maggio 2015, </w:t>
            </w:r>
            <w:r w:rsidRPr="0050092E">
              <w:rPr>
                <w:rFonts w:ascii="Arial" w:eastAsia="Calibri" w:hAnsi="Arial"/>
                <w:sz w:val="22"/>
                <w:szCs w:val="22"/>
                <w:lang w:eastAsia="en-US"/>
              </w:rPr>
              <w:t xml:space="preserve">un primo lieve segnale positivo +0,1% contro una dinamica ancora negativa per l’Italia (-0,4% rispetto al 2013). </w:t>
            </w:r>
          </w:p>
          <w:p w:rsidR="00AC035B" w:rsidRPr="0050092E" w:rsidRDefault="00AC035B" w:rsidP="005A5217">
            <w:pPr>
              <w:spacing w:after="80"/>
              <w:jc w:val="both"/>
              <w:rPr>
                <w:rFonts w:ascii="Arial" w:eastAsia="Calibri" w:hAnsi="Arial"/>
                <w:sz w:val="22"/>
                <w:szCs w:val="22"/>
                <w:lang w:eastAsia="en-US"/>
              </w:rPr>
            </w:pPr>
            <w:r w:rsidRPr="0050092E">
              <w:rPr>
                <w:rFonts w:ascii="Arial" w:eastAsia="Calibri" w:hAnsi="Arial"/>
                <w:sz w:val="22"/>
                <w:szCs w:val="22"/>
                <w:lang w:eastAsia="en-US"/>
              </w:rPr>
              <w:t xml:space="preserve">L’aumento del </w:t>
            </w:r>
            <w:proofErr w:type="spellStart"/>
            <w:r w:rsidRPr="0050092E">
              <w:rPr>
                <w:rFonts w:ascii="Arial" w:eastAsia="Calibri" w:hAnsi="Arial"/>
                <w:sz w:val="22"/>
                <w:szCs w:val="22"/>
                <w:lang w:eastAsia="en-US"/>
              </w:rPr>
              <w:t>Pil</w:t>
            </w:r>
            <w:proofErr w:type="spellEnd"/>
            <w:r w:rsidRPr="0050092E">
              <w:rPr>
                <w:rFonts w:ascii="Arial" w:eastAsia="Calibri" w:hAnsi="Arial"/>
                <w:sz w:val="22"/>
                <w:szCs w:val="22"/>
                <w:lang w:eastAsia="en-US"/>
              </w:rPr>
              <w:t xml:space="preserve"> regionale nel 2014 è stato determinato soprattutto dalla dinamica positiva delle esportazioni e da un recupero, seppur lieve, dei consumi privati, mentre il contributo degli investimenti è a</w:t>
            </w:r>
            <w:r w:rsidRPr="0050092E">
              <w:rPr>
                <w:rFonts w:ascii="Arial" w:eastAsia="Calibri" w:hAnsi="Arial"/>
                <w:sz w:val="22"/>
                <w:szCs w:val="22"/>
                <w:lang w:eastAsia="en-US"/>
              </w:rPr>
              <w:t>n</w:t>
            </w:r>
            <w:r w:rsidRPr="0050092E">
              <w:rPr>
                <w:rFonts w:ascii="Arial" w:eastAsia="Calibri" w:hAnsi="Arial"/>
                <w:sz w:val="22"/>
                <w:szCs w:val="22"/>
                <w:lang w:eastAsia="en-US"/>
              </w:rPr>
              <w:t>cora negativo.</w:t>
            </w:r>
          </w:p>
          <w:p w:rsidR="00AC035B" w:rsidRPr="0050092E" w:rsidRDefault="00AC035B" w:rsidP="005A5217">
            <w:pPr>
              <w:spacing w:after="80"/>
              <w:jc w:val="both"/>
              <w:rPr>
                <w:rFonts w:ascii="Arial" w:eastAsia="Calibri" w:hAnsi="Arial"/>
                <w:sz w:val="22"/>
                <w:szCs w:val="22"/>
                <w:lang w:eastAsia="en-US"/>
              </w:rPr>
            </w:pPr>
            <w:r w:rsidRPr="0050092E">
              <w:rPr>
                <w:rFonts w:ascii="Arial" w:eastAsia="Calibri" w:hAnsi="Arial"/>
                <w:sz w:val="22"/>
                <w:szCs w:val="22"/>
                <w:lang w:eastAsia="en-US"/>
              </w:rPr>
              <w:t xml:space="preserve">La previsione per il 2015 conferma e rafforza il lieve recupero dell’attività economica già rilevato nell’anno precedente: il </w:t>
            </w:r>
            <w:proofErr w:type="spellStart"/>
            <w:r w:rsidRPr="0050092E">
              <w:rPr>
                <w:rFonts w:ascii="Arial" w:eastAsia="Calibri" w:hAnsi="Arial"/>
                <w:sz w:val="22"/>
                <w:szCs w:val="22"/>
                <w:lang w:eastAsia="en-US"/>
              </w:rPr>
              <w:t>Pil</w:t>
            </w:r>
            <w:proofErr w:type="spellEnd"/>
            <w:r w:rsidRPr="0050092E">
              <w:rPr>
                <w:rFonts w:ascii="Arial" w:eastAsia="Calibri" w:hAnsi="Arial"/>
                <w:sz w:val="22"/>
                <w:szCs w:val="22"/>
                <w:lang w:eastAsia="en-US"/>
              </w:rPr>
              <w:t xml:space="preserve"> in </w:t>
            </w:r>
            <w:r w:rsidR="0050092E">
              <w:rPr>
                <w:rFonts w:ascii="Arial" w:eastAsia="Calibri" w:hAnsi="Arial"/>
                <w:sz w:val="22"/>
                <w:szCs w:val="22"/>
                <w:lang w:eastAsia="en-US"/>
              </w:rPr>
              <w:t>Em</w:t>
            </w:r>
            <w:r w:rsidR="0050092E">
              <w:rPr>
                <w:rFonts w:ascii="Arial" w:eastAsia="Calibri" w:hAnsi="Arial"/>
                <w:sz w:val="22"/>
                <w:szCs w:val="22"/>
                <w:lang w:eastAsia="en-US"/>
              </w:rPr>
              <w:t>i</w:t>
            </w:r>
            <w:r w:rsidR="0050092E">
              <w:rPr>
                <w:rFonts w:ascii="Arial" w:eastAsia="Calibri" w:hAnsi="Arial"/>
                <w:sz w:val="22"/>
                <w:szCs w:val="22"/>
                <w:lang w:eastAsia="en-US"/>
              </w:rPr>
              <w:t>lia-Romagna</w:t>
            </w:r>
            <w:r w:rsidRPr="0050092E">
              <w:rPr>
                <w:rFonts w:ascii="Arial" w:eastAsia="Calibri" w:hAnsi="Arial"/>
                <w:sz w:val="22"/>
                <w:szCs w:val="22"/>
                <w:lang w:eastAsia="en-US"/>
              </w:rPr>
              <w:t xml:space="preserve"> aumenterà dell’1,1% in termini reali su base annua, ev</w:t>
            </w:r>
            <w:r w:rsidRPr="0050092E">
              <w:rPr>
                <w:rFonts w:ascii="Arial" w:eastAsia="Calibri" w:hAnsi="Arial"/>
                <w:sz w:val="22"/>
                <w:szCs w:val="22"/>
                <w:lang w:eastAsia="en-US"/>
              </w:rPr>
              <w:t>i</w:t>
            </w:r>
            <w:r w:rsidRPr="0050092E">
              <w:rPr>
                <w:rFonts w:ascii="Arial" w:eastAsia="Calibri" w:hAnsi="Arial"/>
                <w:sz w:val="22"/>
                <w:szCs w:val="22"/>
                <w:lang w:eastAsia="en-US"/>
              </w:rPr>
              <w:t>denziando una crescita più robusta della media nazionale (+0,7%).</w:t>
            </w:r>
          </w:p>
        </w:tc>
      </w:tr>
      <w:tr w:rsidR="00E41B4D" w:rsidRPr="00C048ED" w:rsidTr="00F9585C">
        <w:trPr>
          <w:jc w:val="center"/>
        </w:trPr>
        <w:tc>
          <w:tcPr>
            <w:tcW w:w="1644" w:type="dxa"/>
            <w:tcBorders>
              <w:top w:val="nil"/>
              <w:left w:val="nil"/>
              <w:bottom w:val="nil"/>
              <w:right w:val="nil"/>
            </w:tcBorders>
            <w:shd w:val="clear" w:color="auto" w:fill="auto"/>
          </w:tcPr>
          <w:p w:rsidR="00E41B4D" w:rsidRPr="008654B5" w:rsidRDefault="00E41B4D" w:rsidP="00A16BCD">
            <w:pPr>
              <w:suppressAutoHyphens/>
              <w:spacing w:after="120"/>
              <w:rPr>
                <w:rFonts w:ascii="Arial" w:hAnsi="Arial" w:cs="Arial"/>
                <w:b/>
                <w:color w:val="000080"/>
                <w:sz w:val="18"/>
                <w:szCs w:val="22"/>
              </w:rPr>
            </w:pPr>
            <w:r w:rsidRPr="008654B5">
              <w:rPr>
                <w:rFonts w:ascii="Arial" w:hAnsi="Arial" w:cs="Arial"/>
                <w:b/>
                <w:color w:val="000080"/>
                <w:sz w:val="18"/>
                <w:szCs w:val="22"/>
              </w:rPr>
              <w:t xml:space="preserve">Per il settore delle costruzioni prosegue il calo dei livelli produttivi, ma si osservano alcuni segnali positivi </w:t>
            </w:r>
          </w:p>
        </w:tc>
        <w:tc>
          <w:tcPr>
            <w:tcW w:w="7022" w:type="dxa"/>
            <w:tcBorders>
              <w:top w:val="nil"/>
              <w:left w:val="nil"/>
              <w:bottom w:val="nil"/>
              <w:right w:val="nil"/>
            </w:tcBorders>
            <w:shd w:val="clear" w:color="auto" w:fill="auto"/>
          </w:tcPr>
          <w:p w:rsidR="00E41B4D" w:rsidRPr="00F12CD9" w:rsidRDefault="00E41B4D" w:rsidP="00F12CD9">
            <w:pPr>
              <w:spacing w:after="100"/>
              <w:jc w:val="both"/>
              <w:rPr>
                <w:rFonts w:ascii="Arial" w:eastAsia="Calibri" w:hAnsi="Arial"/>
                <w:sz w:val="22"/>
                <w:szCs w:val="22"/>
                <w:lang w:eastAsia="en-US"/>
              </w:rPr>
            </w:pPr>
            <w:r w:rsidRPr="00F12CD9">
              <w:rPr>
                <w:rFonts w:ascii="Arial" w:eastAsia="Calibri" w:hAnsi="Arial"/>
                <w:sz w:val="22"/>
                <w:szCs w:val="22"/>
                <w:lang w:eastAsia="en-US"/>
              </w:rPr>
              <w:t xml:space="preserve">In </w:t>
            </w:r>
            <w:r w:rsidR="008654B5" w:rsidRPr="00F12CD9">
              <w:rPr>
                <w:rFonts w:ascii="Arial" w:eastAsia="Calibri" w:hAnsi="Arial"/>
                <w:sz w:val="22"/>
                <w:szCs w:val="22"/>
                <w:lang w:eastAsia="en-US"/>
              </w:rPr>
              <w:t>Emilia-Romagna</w:t>
            </w:r>
            <w:r w:rsidRPr="00F12CD9">
              <w:rPr>
                <w:rFonts w:ascii="Arial" w:eastAsia="Calibri" w:hAnsi="Arial"/>
                <w:sz w:val="22"/>
                <w:szCs w:val="22"/>
                <w:lang w:eastAsia="en-US"/>
              </w:rPr>
              <w:t xml:space="preserve"> il settore delle costruzioni, parallelamente a qua</w:t>
            </w:r>
            <w:r w:rsidRPr="00F12CD9">
              <w:rPr>
                <w:rFonts w:ascii="Arial" w:eastAsia="Calibri" w:hAnsi="Arial"/>
                <w:sz w:val="22"/>
                <w:szCs w:val="22"/>
                <w:lang w:eastAsia="en-US"/>
              </w:rPr>
              <w:t>n</w:t>
            </w:r>
            <w:r w:rsidRPr="00F12CD9">
              <w:rPr>
                <w:rFonts w:ascii="Arial" w:eastAsia="Calibri" w:hAnsi="Arial"/>
                <w:sz w:val="22"/>
                <w:szCs w:val="22"/>
                <w:lang w:eastAsia="en-US"/>
              </w:rPr>
              <w:t>to osservato a livello nazionale, manifesta ancora, nel 2014, cali pr</w:t>
            </w:r>
            <w:r w:rsidRPr="00F12CD9">
              <w:rPr>
                <w:rFonts w:ascii="Arial" w:eastAsia="Calibri" w:hAnsi="Arial"/>
                <w:sz w:val="22"/>
                <w:szCs w:val="22"/>
                <w:lang w:eastAsia="en-US"/>
              </w:rPr>
              <w:t>o</w:t>
            </w:r>
            <w:r w:rsidRPr="00F12CD9">
              <w:rPr>
                <w:rFonts w:ascii="Arial" w:eastAsia="Calibri" w:hAnsi="Arial"/>
                <w:sz w:val="22"/>
                <w:szCs w:val="22"/>
                <w:lang w:eastAsia="en-US"/>
              </w:rPr>
              <w:t>duttivi ma si registrano segnali positivi nel mercato immobiliare res</w:t>
            </w:r>
            <w:r w:rsidRPr="00F12CD9">
              <w:rPr>
                <w:rFonts w:ascii="Arial" w:eastAsia="Calibri" w:hAnsi="Arial"/>
                <w:sz w:val="22"/>
                <w:szCs w:val="22"/>
                <w:lang w:eastAsia="en-US"/>
              </w:rPr>
              <w:t>i</w:t>
            </w:r>
            <w:r w:rsidRPr="00F12CD9">
              <w:rPr>
                <w:rFonts w:ascii="Arial" w:eastAsia="Calibri" w:hAnsi="Arial"/>
                <w:sz w:val="22"/>
                <w:szCs w:val="22"/>
                <w:lang w:eastAsia="en-US"/>
              </w:rPr>
              <w:t>denziale, nei mutui erogati alle famiglie per l’acquisto di un’abitazione</w:t>
            </w:r>
            <w:r w:rsidR="008654B5" w:rsidRPr="00F12CD9">
              <w:rPr>
                <w:rFonts w:ascii="Arial" w:eastAsia="Calibri" w:hAnsi="Arial"/>
                <w:sz w:val="22"/>
                <w:szCs w:val="22"/>
                <w:lang w:eastAsia="en-US"/>
              </w:rPr>
              <w:t xml:space="preserve"> e nei bandi di gara per lavori pubblici</w:t>
            </w:r>
            <w:r w:rsidRPr="00F12CD9">
              <w:rPr>
                <w:rFonts w:ascii="Arial" w:eastAsia="Calibri" w:hAnsi="Arial"/>
                <w:sz w:val="22"/>
                <w:szCs w:val="22"/>
                <w:lang w:eastAsia="en-US"/>
              </w:rPr>
              <w:t>.</w:t>
            </w:r>
          </w:p>
          <w:p w:rsidR="00E41B4D" w:rsidRPr="00F12CD9" w:rsidRDefault="00E41B4D" w:rsidP="00F12CD9">
            <w:pPr>
              <w:spacing w:after="100"/>
              <w:jc w:val="both"/>
              <w:rPr>
                <w:rFonts w:ascii="Arial" w:eastAsia="Calibri" w:hAnsi="Arial"/>
                <w:sz w:val="22"/>
                <w:szCs w:val="22"/>
                <w:lang w:eastAsia="en-US"/>
              </w:rPr>
            </w:pPr>
            <w:r w:rsidRPr="00F12CD9">
              <w:rPr>
                <w:rFonts w:ascii="Arial" w:eastAsia="Calibri" w:hAnsi="Arial"/>
                <w:sz w:val="22"/>
                <w:szCs w:val="22"/>
                <w:lang w:eastAsia="en-US"/>
              </w:rPr>
              <w:t xml:space="preserve">Nel 2014, secondo le stime Ance-Ance </w:t>
            </w:r>
            <w:r w:rsidR="008654B5" w:rsidRPr="00F12CD9">
              <w:rPr>
                <w:rFonts w:ascii="Arial" w:eastAsia="Calibri" w:hAnsi="Arial"/>
                <w:sz w:val="22"/>
                <w:szCs w:val="22"/>
                <w:lang w:eastAsia="en-US"/>
              </w:rPr>
              <w:t>Emilia-Romagna</w:t>
            </w:r>
            <w:r w:rsidR="00A16BCD">
              <w:rPr>
                <w:rFonts w:ascii="Arial" w:eastAsia="Calibri" w:hAnsi="Arial"/>
                <w:sz w:val="22"/>
                <w:szCs w:val="22"/>
                <w:lang w:eastAsia="en-US"/>
              </w:rPr>
              <w:t xml:space="preserve"> basate sugli indicatori disponibili e sull’indagine rapida svolta presso le imprese associate</w:t>
            </w:r>
            <w:r w:rsidRPr="00F12CD9">
              <w:rPr>
                <w:rFonts w:ascii="Arial" w:eastAsia="Calibri" w:hAnsi="Arial"/>
                <w:sz w:val="22"/>
                <w:szCs w:val="22"/>
                <w:lang w:eastAsia="en-US"/>
              </w:rPr>
              <w:t>, gli investimenti in costruzioni diminuiscono rispetto ai livelli dell’anno precedente del 3,</w:t>
            </w:r>
            <w:r w:rsidR="008654B5" w:rsidRPr="00F12CD9">
              <w:rPr>
                <w:rFonts w:ascii="Arial" w:eastAsia="Calibri" w:hAnsi="Arial"/>
                <w:sz w:val="22"/>
                <w:szCs w:val="22"/>
                <w:lang w:eastAsia="en-US"/>
              </w:rPr>
              <w:t>4</w:t>
            </w:r>
            <w:r w:rsidRPr="00F12CD9">
              <w:rPr>
                <w:rFonts w:ascii="Arial" w:eastAsia="Calibri" w:hAnsi="Arial"/>
                <w:sz w:val="22"/>
                <w:szCs w:val="22"/>
                <w:lang w:eastAsia="en-US"/>
              </w:rPr>
              <w:t>% in termini reali.</w:t>
            </w:r>
          </w:p>
          <w:p w:rsidR="00E41B4D" w:rsidRPr="00F12CD9" w:rsidRDefault="00E41B4D" w:rsidP="00F12CD9">
            <w:pPr>
              <w:spacing w:after="100"/>
              <w:jc w:val="both"/>
              <w:rPr>
                <w:rFonts w:ascii="Arial" w:eastAsia="Calibri" w:hAnsi="Arial"/>
                <w:sz w:val="22"/>
                <w:szCs w:val="22"/>
                <w:lang w:eastAsia="en-US"/>
              </w:rPr>
            </w:pPr>
            <w:r w:rsidRPr="00F12CD9">
              <w:rPr>
                <w:rFonts w:ascii="Arial" w:eastAsia="Calibri" w:hAnsi="Arial"/>
                <w:sz w:val="22"/>
                <w:szCs w:val="22"/>
                <w:lang w:eastAsia="en-US"/>
              </w:rPr>
              <w:t xml:space="preserve"> </w:t>
            </w:r>
          </w:p>
        </w:tc>
      </w:tr>
      <w:tr w:rsidR="00A16BCD" w:rsidRPr="00E15E84" w:rsidTr="00A16BCD">
        <w:trPr>
          <w:jc w:val="center"/>
        </w:trPr>
        <w:tc>
          <w:tcPr>
            <w:tcW w:w="1644" w:type="dxa"/>
            <w:tcBorders>
              <w:top w:val="nil"/>
              <w:left w:val="nil"/>
              <w:bottom w:val="nil"/>
              <w:right w:val="nil"/>
            </w:tcBorders>
            <w:shd w:val="clear" w:color="auto" w:fill="auto"/>
          </w:tcPr>
          <w:p w:rsidR="00A16BCD" w:rsidRPr="00A16BCD" w:rsidRDefault="00A16BCD" w:rsidP="00A16BCD">
            <w:pPr>
              <w:suppressAutoHyphens/>
              <w:spacing w:after="120"/>
              <w:rPr>
                <w:rFonts w:ascii="Arial" w:hAnsi="Arial" w:cs="Arial"/>
                <w:b/>
                <w:color w:val="000080"/>
                <w:sz w:val="18"/>
                <w:szCs w:val="22"/>
              </w:rPr>
            </w:pPr>
            <w:r w:rsidRPr="00A16BCD">
              <w:rPr>
                <w:rFonts w:ascii="Arial" w:hAnsi="Arial" w:cs="Arial"/>
                <w:b/>
                <w:color w:val="000080"/>
                <w:sz w:val="18"/>
                <w:szCs w:val="22"/>
              </w:rPr>
              <w:t>Previsione 2015: il segno resta negativo ma le valutazioni delle imprese  indicano un allentamento della crisi</w:t>
            </w:r>
          </w:p>
        </w:tc>
        <w:tc>
          <w:tcPr>
            <w:tcW w:w="7022" w:type="dxa"/>
            <w:tcBorders>
              <w:top w:val="nil"/>
              <w:left w:val="nil"/>
              <w:bottom w:val="nil"/>
              <w:right w:val="nil"/>
            </w:tcBorders>
            <w:shd w:val="clear" w:color="auto" w:fill="auto"/>
          </w:tcPr>
          <w:p w:rsidR="00A16BCD" w:rsidRPr="00A16BCD" w:rsidRDefault="00A16BCD" w:rsidP="00A16BCD">
            <w:pPr>
              <w:spacing w:after="100"/>
              <w:jc w:val="both"/>
              <w:rPr>
                <w:rFonts w:ascii="Arial" w:eastAsia="Calibri" w:hAnsi="Arial"/>
                <w:sz w:val="22"/>
                <w:szCs w:val="22"/>
                <w:lang w:eastAsia="en-US"/>
              </w:rPr>
            </w:pPr>
            <w:r w:rsidRPr="00A16BCD">
              <w:rPr>
                <w:rFonts w:ascii="Arial" w:eastAsia="Calibri" w:hAnsi="Arial"/>
                <w:sz w:val="22"/>
                <w:szCs w:val="22"/>
                <w:lang w:eastAsia="en-US"/>
              </w:rPr>
              <w:t xml:space="preserve">Le valutazioni </w:t>
            </w:r>
            <w:r>
              <w:rPr>
                <w:rFonts w:ascii="Arial" w:eastAsia="Calibri" w:hAnsi="Arial"/>
                <w:sz w:val="22"/>
                <w:szCs w:val="22"/>
                <w:lang w:eastAsia="en-US"/>
              </w:rPr>
              <w:t>delle</w:t>
            </w:r>
            <w:r w:rsidRPr="00A16BCD">
              <w:rPr>
                <w:rFonts w:ascii="Arial" w:eastAsia="Calibri" w:hAnsi="Arial"/>
                <w:sz w:val="22"/>
                <w:szCs w:val="22"/>
                <w:lang w:eastAsia="en-US"/>
              </w:rPr>
              <w:t xml:space="preserve"> imprese associate, indicano, </w:t>
            </w:r>
            <w:r w:rsidR="00EA2D0D">
              <w:rPr>
                <w:rFonts w:ascii="Arial" w:eastAsia="Calibri" w:hAnsi="Arial"/>
                <w:sz w:val="22"/>
                <w:szCs w:val="22"/>
                <w:lang w:eastAsia="en-US"/>
              </w:rPr>
              <w:t>per l</w:t>
            </w:r>
            <w:r>
              <w:rPr>
                <w:rFonts w:ascii="Arial" w:eastAsia="Calibri" w:hAnsi="Arial"/>
                <w:sz w:val="22"/>
                <w:szCs w:val="22"/>
                <w:lang w:eastAsia="en-US"/>
              </w:rPr>
              <w:t>‘anno in corso</w:t>
            </w:r>
            <w:r w:rsidRPr="00A16BCD">
              <w:rPr>
                <w:rFonts w:ascii="Arial" w:eastAsia="Calibri" w:hAnsi="Arial"/>
                <w:sz w:val="22"/>
                <w:szCs w:val="22"/>
                <w:lang w:eastAsia="en-US"/>
              </w:rPr>
              <w:t xml:space="preserve"> un’aspettativa  di allentamento della crisi. Le previsioni di attività, seppur ancor in calo, si posizionano su livelli di intensità più contenuti rispetto a quelli espressi nelle precedenti indagini.  </w:t>
            </w:r>
          </w:p>
          <w:p w:rsidR="00A16BCD" w:rsidRPr="00A16BCD" w:rsidRDefault="00A16BCD" w:rsidP="00A16BCD">
            <w:pPr>
              <w:spacing w:after="100"/>
              <w:jc w:val="both"/>
              <w:rPr>
                <w:rFonts w:ascii="Arial" w:eastAsia="Calibri" w:hAnsi="Arial"/>
                <w:sz w:val="22"/>
                <w:szCs w:val="22"/>
                <w:lang w:eastAsia="en-US"/>
              </w:rPr>
            </w:pPr>
            <w:r w:rsidRPr="00A16BCD">
              <w:rPr>
                <w:rFonts w:ascii="Arial" w:eastAsia="Calibri" w:hAnsi="Arial"/>
                <w:sz w:val="22"/>
                <w:szCs w:val="22"/>
                <w:lang w:eastAsia="en-US"/>
              </w:rPr>
              <w:t>Per il 2015 si stima per gli  investimenti in costruzioni in Emilia-Romagna  una riduzione dell’1,9% in quantità.</w:t>
            </w:r>
          </w:p>
          <w:p w:rsidR="00A16BCD" w:rsidRPr="00A16BCD" w:rsidRDefault="00A16BCD" w:rsidP="00A16BCD">
            <w:pPr>
              <w:spacing w:after="100"/>
              <w:jc w:val="both"/>
              <w:rPr>
                <w:rFonts w:ascii="Arial" w:eastAsia="Calibri" w:hAnsi="Arial"/>
                <w:sz w:val="22"/>
                <w:szCs w:val="22"/>
                <w:lang w:eastAsia="en-US"/>
              </w:rPr>
            </w:pPr>
          </w:p>
        </w:tc>
      </w:tr>
      <w:tr w:rsidR="00E41B4D" w:rsidRPr="00461095" w:rsidTr="00F9585C">
        <w:trPr>
          <w:trHeight w:val="709"/>
          <w:jc w:val="center"/>
        </w:trPr>
        <w:tc>
          <w:tcPr>
            <w:tcW w:w="1644" w:type="dxa"/>
            <w:tcBorders>
              <w:top w:val="nil"/>
              <w:left w:val="nil"/>
              <w:bottom w:val="nil"/>
              <w:right w:val="nil"/>
            </w:tcBorders>
            <w:shd w:val="clear" w:color="auto" w:fill="auto"/>
          </w:tcPr>
          <w:p w:rsidR="00E41B4D" w:rsidRPr="00AC035B" w:rsidRDefault="00994D88" w:rsidP="0060187E">
            <w:pPr>
              <w:suppressAutoHyphens/>
              <w:rPr>
                <w:rFonts w:ascii="Arial" w:hAnsi="Arial" w:cs="Arial"/>
                <w:b/>
                <w:color w:val="000080"/>
                <w:highlight w:val="yellow"/>
              </w:rPr>
            </w:pPr>
            <w:r>
              <w:rPr>
                <w:rFonts w:ascii="Arial" w:hAnsi="Arial" w:cs="Arial"/>
                <w:b/>
                <w:color w:val="000080"/>
              </w:rPr>
              <w:t>Forte</w:t>
            </w:r>
            <w:r w:rsidR="0060187E">
              <w:rPr>
                <w:rFonts w:ascii="Arial" w:hAnsi="Arial" w:cs="Arial"/>
                <w:b/>
                <w:color w:val="000080"/>
              </w:rPr>
              <w:t xml:space="preserve"> caduta nei </w:t>
            </w:r>
            <w:r w:rsidR="00E41B4D" w:rsidRPr="0060187E">
              <w:rPr>
                <w:rFonts w:ascii="Arial" w:hAnsi="Arial" w:cs="Arial"/>
                <w:b/>
                <w:color w:val="000080"/>
              </w:rPr>
              <w:t>permessi di costruire</w:t>
            </w:r>
            <w:r w:rsidR="0060187E">
              <w:rPr>
                <w:rFonts w:ascii="Arial" w:hAnsi="Arial" w:cs="Arial"/>
                <w:b/>
                <w:color w:val="000080"/>
              </w:rPr>
              <w:t xml:space="preserve"> su abitazioni</w:t>
            </w:r>
          </w:p>
        </w:tc>
        <w:tc>
          <w:tcPr>
            <w:tcW w:w="7022" w:type="dxa"/>
            <w:tcBorders>
              <w:top w:val="nil"/>
              <w:left w:val="nil"/>
              <w:bottom w:val="nil"/>
              <w:right w:val="nil"/>
            </w:tcBorders>
            <w:shd w:val="clear" w:color="auto" w:fill="auto"/>
          </w:tcPr>
          <w:p w:rsidR="00E41B4D" w:rsidRPr="00AC035B" w:rsidRDefault="0060187E" w:rsidP="0060187E">
            <w:pPr>
              <w:spacing w:after="100"/>
              <w:jc w:val="both"/>
              <w:rPr>
                <w:rFonts w:ascii="Arial" w:hAnsi="Arial" w:cs="Arial"/>
                <w:b/>
                <w:sz w:val="22"/>
                <w:szCs w:val="24"/>
                <w:highlight w:val="yellow"/>
              </w:rPr>
            </w:pPr>
            <w:r w:rsidRPr="0060187E">
              <w:rPr>
                <w:rFonts w:ascii="Arial" w:hAnsi="Arial" w:cs="Arial"/>
                <w:sz w:val="22"/>
                <w:szCs w:val="24"/>
              </w:rPr>
              <w:t>Relativamente al comparto abitativo, in Emilia-Romagna, si evidenzia un vero e proprio crollo dei permessi di costruire ritirati per la costr</w:t>
            </w:r>
            <w:r w:rsidRPr="0060187E">
              <w:rPr>
                <w:rFonts w:ascii="Arial" w:hAnsi="Arial" w:cs="Arial"/>
                <w:sz w:val="22"/>
                <w:szCs w:val="24"/>
              </w:rPr>
              <w:t>u</w:t>
            </w:r>
            <w:r w:rsidRPr="0060187E">
              <w:rPr>
                <w:rFonts w:ascii="Arial" w:hAnsi="Arial" w:cs="Arial"/>
                <w:sz w:val="22"/>
                <w:szCs w:val="24"/>
              </w:rPr>
              <w:t>zione di abitazioni (nuove e ampliamenti), di intensità superiore alla media nazionale</w:t>
            </w:r>
            <w:r>
              <w:rPr>
                <w:rFonts w:ascii="Arial" w:hAnsi="Arial" w:cs="Arial"/>
                <w:sz w:val="22"/>
                <w:szCs w:val="24"/>
              </w:rPr>
              <w:t xml:space="preserve">. </w:t>
            </w:r>
            <w:r w:rsidRPr="0060187E">
              <w:rPr>
                <w:rFonts w:ascii="Arial" w:hAnsi="Arial" w:cs="Arial"/>
                <w:b/>
                <w:sz w:val="22"/>
                <w:szCs w:val="24"/>
              </w:rPr>
              <w:t>Tra il 2005 e il 2012 il numero dei permessi pa</w:t>
            </w:r>
            <w:r w:rsidRPr="0060187E">
              <w:rPr>
                <w:rFonts w:ascii="Arial" w:hAnsi="Arial" w:cs="Arial"/>
                <w:b/>
                <w:sz w:val="22"/>
                <w:szCs w:val="24"/>
              </w:rPr>
              <w:t>s</w:t>
            </w:r>
            <w:r w:rsidRPr="0060187E">
              <w:rPr>
                <w:rFonts w:ascii="Arial" w:hAnsi="Arial" w:cs="Arial"/>
                <w:b/>
                <w:sz w:val="22"/>
                <w:szCs w:val="24"/>
              </w:rPr>
              <w:t>sa da 34.434 a 5.128, con una flessione dell’85,1%,</w:t>
            </w:r>
            <w:r w:rsidRPr="0060187E">
              <w:rPr>
                <w:rFonts w:ascii="Arial" w:hAnsi="Arial" w:cs="Arial"/>
                <w:sz w:val="22"/>
                <w:szCs w:val="24"/>
              </w:rPr>
              <w:t xml:space="preserve"> contro una r</w:t>
            </w:r>
            <w:r w:rsidRPr="0060187E">
              <w:rPr>
                <w:rFonts w:ascii="Arial" w:hAnsi="Arial" w:cs="Arial"/>
                <w:sz w:val="22"/>
                <w:szCs w:val="24"/>
              </w:rPr>
              <w:t>i</w:t>
            </w:r>
            <w:r w:rsidRPr="0060187E">
              <w:rPr>
                <w:rFonts w:ascii="Arial" w:hAnsi="Arial" w:cs="Arial"/>
                <w:sz w:val="22"/>
                <w:szCs w:val="24"/>
              </w:rPr>
              <w:t>duzione per l’Italia del 70,3%. Nel solo anno 2012 si osserva un sign</w:t>
            </w:r>
            <w:r w:rsidRPr="0060187E">
              <w:rPr>
                <w:rFonts w:ascii="Arial" w:hAnsi="Arial" w:cs="Arial"/>
                <w:sz w:val="22"/>
                <w:szCs w:val="24"/>
              </w:rPr>
              <w:t>i</w:t>
            </w:r>
            <w:r w:rsidRPr="0060187E">
              <w:rPr>
                <w:rFonts w:ascii="Arial" w:hAnsi="Arial" w:cs="Arial"/>
                <w:sz w:val="22"/>
                <w:szCs w:val="24"/>
              </w:rPr>
              <w:t>ficativo calo del 33,7% rispetto all’anno precedente, che coinvolge sia i permessi ritirati per nuove abitazioni (-33,4%) che per ampliamenti</w:t>
            </w:r>
            <w:r w:rsidR="00FB2FE8">
              <w:rPr>
                <w:rFonts w:ascii="Arial" w:hAnsi="Arial" w:cs="Arial"/>
                <w:sz w:val="22"/>
                <w:szCs w:val="24"/>
              </w:rPr>
              <w:t xml:space="preserve">   </w:t>
            </w:r>
            <w:r w:rsidRPr="0060187E">
              <w:rPr>
                <w:rFonts w:ascii="Arial" w:hAnsi="Arial" w:cs="Arial"/>
                <w:sz w:val="22"/>
                <w:szCs w:val="24"/>
              </w:rPr>
              <w:t xml:space="preserve"> (-38,6%).</w:t>
            </w:r>
          </w:p>
        </w:tc>
      </w:tr>
    </w:tbl>
    <w:p w:rsidR="005A5217" w:rsidRDefault="005A5217" w:rsidP="00EA15BA">
      <w:pPr>
        <w:tabs>
          <w:tab w:val="left" w:pos="2289"/>
        </w:tabs>
        <w:spacing w:after="120"/>
        <w:jc w:val="right"/>
        <w:rPr>
          <w:rFonts w:ascii="Arial" w:hAnsi="Arial" w:cs="Arial"/>
          <w:b/>
          <w:color w:val="000080"/>
          <w:sz w:val="24"/>
          <w:szCs w:val="24"/>
        </w:rPr>
      </w:pPr>
      <w:bookmarkStart w:id="5" w:name="_Toc151885204"/>
      <w:bookmarkStart w:id="6" w:name="_Toc180379091"/>
      <w:bookmarkStart w:id="7" w:name="_Toc184526318"/>
      <w:bookmarkStart w:id="8" w:name="_Toc154204383"/>
      <w:bookmarkStart w:id="9" w:name="_Toc284251392"/>
      <w:bookmarkStart w:id="10" w:name="_Toc284838136"/>
      <w:r>
        <w:rPr>
          <w:rFonts w:ascii="Arial" w:hAnsi="Arial" w:cs="Arial"/>
          <w:b/>
          <w:noProof/>
          <w:color w:val="000080"/>
          <w:sz w:val="24"/>
          <w:szCs w:val="24"/>
        </w:rPr>
        <w:drawing>
          <wp:anchor distT="0" distB="0" distL="114300" distR="114300" simplePos="0" relativeHeight="253188096" behindDoc="0" locked="0" layoutInCell="1" allowOverlap="1" wp14:anchorId="0329A839" wp14:editId="70274B33">
            <wp:simplePos x="0" y="0"/>
            <wp:positionH relativeFrom="column">
              <wp:posOffset>1034415</wp:posOffset>
            </wp:positionH>
            <wp:positionV relativeFrom="paragraph">
              <wp:posOffset>193040</wp:posOffset>
            </wp:positionV>
            <wp:extent cx="4057650" cy="2787015"/>
            <wp:effectExtent l="0" t="0" r="0" b="0"/>
            <wp:wrapSquare wrapText="bothSides"/>
            <wp:docPr id="290" name="Immagin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7650" cy="2787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15BA" w:rsidRDefault="00EA15BA" w:rsidP="00EA15BA">
      <w:pPr>
        <w:tabs>
          <w:tab w:val="left" w:pos="2289"/>
        </w:tabs>
        <w:spacing w:after="120"/>
        <w:jc w:val="right"/>
        <w:rPr>
          <w:rFonts w:ascii="Arial" w:hAnsi="Arial" w:cs="Arial"/>
          <w:b/>
          <w:color w:val="000080"/>
          <w:sz w:val="24"/>
          <w:szCs w:val="24"/>
        </w:rPr>
      </w:pPr>
    </w:p>
    <w:p w:rsidR="00A508A8" w:rsidRDefault="00A508A8" w:rsidP="00EA15BA">
      <w:pPr>
        <w:tabs>
          <w:tab w:val="left" w:pos="2289"/>
        </w:tabs>
        <w:spacing w:after="120"/>
        <w:jc w:val="right"/>
        <w:rPr>
          <w:rFonts w:ascii="Arial" w:hAnsi="Arial" w:cs="Arial"/>
          <w:b/>
          <w:color w:val="000080"/>
          <w:sz w:val="24"/>
          <w:szCs w:val="24"/>
        </w:rPr>
      </w:pPr>
    </w:p>
    <w:p w:rsidR="00082ED0" w:rsidRDefault="00082ED0" w:rsidP="00EA15BA">
      <w:pPr>
        <w:tabs>
          <w:tab w:val="left" w:pos="2289"/>
        </w:tabs>
        <w:spacing w:after="120"/>
        <w:jc w:val="right"/>
        <w:rPr>
          <w:rFonts w:ascii="Arial" w:hAnsi="Arial" w:cs="Arial"/>
          <w:b/>
          <w:color w:val="000080"/>
          <w:sz w:val="24"/>
          <w:szCs w:val="24"/>
        </w:rPr>
      </w:pPr>
    </w:p>
    <w:p w:rsidR="00082ED0" w:rsidRDefault="00082ED0" w:rsidP="00EA15BA">
      <w:pPr>
        <w:tabs>
          <w:tab w:val="left" w:pos="2289"/>
        </w:tabs>
        <w:spacing w:after="120"/>
        <w:jc w:val="right"/>
        <w:rPr>
          <w:rFonts w:ascii="Arial" w:hAnsi="Arial" w:cs="Arial"/>
          <w:b/>
          <w:color w:val="000080"/>
          <w:sz w:val="24"/>
          <w:szCs w:val="24"/>
        </w:rPr>
      </w:pPr>
    </w:p>
    <w:p w:rsidR="00082ED0" w:rsidRDefault="00082ED0" w:rsidP="00EA15BA">
      <w:pPr>
        <w:tabs>
          <w:tab w:val="left" w:pos="2289"/>
        </w:tabs>
        <w:spacing w:after="120"/>
        <w:jc w:val="right"/>
        <w:rPr>
          <w:rFonts w:ascii="Arial" w:hAnsi="Arial" w:cs="Arial"/>
          <w:b/>
          <w:color w:val="000080"/>
          <w:sz w:val="24"/>
          <w:szCs w:val="24"/>
        </w:rPr>
      </w:pPr>
    </w:p>
    <w:p w:rsidR="00082ED0" w:rsidRDefault="00082ED0" w:rsidP="00EA15BA">
      <w:pPr>
        <w:tabs>
          <w:tab w:val="left" w:pos="2289"/>
        </w:tabs>
        <w:spacing w:after="120"/>
        <w:jc w:val="right"/>
        <w:rPr>
          <w:rFonts w:ascii="Arial" w:hAnsi="Arial" w:cs="Arial"/>
          <w:b/>
          <w:color w:val="000080"/>
          <w:sz w:val="24"/>
          <w:szCs w:val="24"/>
        </w:rPr>
      </w:pPr>
    </w:p>
    <w:p w:rsidR="005A5217" w:rsidRDefault="005A5217" w:rsidP="00EA15BA">
      <w:pPr>
        <w:tabs>
          <w:tab w:val="left" w:pos="2289"/>
        </w:tabs>
        <w:spacing w:after="120"/>
        <w:jc w:val="right"/>
        <w:rPr>
          <w:rFonts w:ascii="Arial" w:hAnsi="Arial" w:cs="Arial"/>
          <w:b/>
          <w:color w:val="000080"/>
          <w:sz w:val="24"/>
          <w:szCs w:val="24"/>
        </w:rPr>
      </w:pPr>
    </w:p>
    <w:p w:rsidR="005A5217" w:rsidRDefault="005A5217" w:rsidP="00EA15BA">
      <w:pPr>
        <w:tabs>
          <w:tab w:val="left" w:pos="2289"/>
        </w:tabs>
        <w:spacing w:after="120"/>
        <w:jc w:val="right"/>
        <w:rPr>
          <w:rFonts w:ascii="Arial" w:hAnsi="Arial" w:cs="Arial"/>
          <w:b/>
          <w:color w:val="000080"/>
          <w:sz w:val="24"/>
          <w:szCs w:val="24"/>
        </w:rPr>
      </w:pPr>
    </w:p>
    <w:p w:rsidR="005A5217" w:rsidRDefault="005A5217" w:rsidP="00EA15BA">
      <w:pPr>
        <w:tabs>
          <w:tab w:val="left" w:pos="2289"/>
        </w:tabs>
        <w:spacing w:after="120"/>
        <w:jc w:val="right"/>
        <w:rPr>
          <w:rFonts w:ascii="Arial" w:hAnsi="Arial" w:cs="Arial"/>
          <w:b/>
          <w:color w:val="000080"/>
          <w:sz w:val="24"/>
          <w:szCs w:val="24"/>
        </w:rPr>
      </w:pPr>
    </w:p>
    <w:p w:rsidR="005A5217" w:rsidRDefault="005A5217" w:rsidP="00EA15BA">
      <w:pPr>
        <w:tabs>
          <w:tab w:val="left" w:pos="2289"/>
        </w:tabs>
        <w:spacing w:after="120"/>
        <w:jc w:val="right"/>
        <w:rPr>
          <w:rFonts w:ascii="Arial" w:hAnsi="Arial" w:cs="Arial"/>
          <w:b/>
          <w:color w:val="000080"/>
          <w:sz w:val="24"/>
          <w:szCs w:val="24"/>
        </w:rPr>
      </w:pPr>
    </w:p>
    <w:p w:rsidR="005A5217" w:rsidRDefault="005A5217" w:rsidP="00EA15BA">
      <w:pPr>
        <w:tabs>
          <w:tab w:val="left" w:pos="2289"/>
        </w:tabs>
        <w:spacing w:after="120"/>
        <w:jc w:val="right"/>
        <w:rPr>
          <w:rFonts w:ascii="Arial" w:hAnsi="Arial" w:cs="Arial"/>
          <w:b/>
          <w:color w:val="000080"/>
          <w:sz w:val="24"/>
          <w:szCs w:val="24"/>
        </w:rPr>
      </w:pPr>
    </w:p>
    <w:p w:rsidR="005A5217" w:rsidRDefault="005A5217" w:rsidP="00EA15BA">
      <w:pPr>
        <w:tabs>
          <w:tab w:val="left" w:pos="2289"/>
        </w:tabs>
        <w:spacing w:after="120"/>
        <w:jc w:val="right"/>
        <w:rPr>
          <w:rFonts w:ascii="Arial" w:hAnsi="Arial" w:cs="Arial"/>
          <w:b/>
          <w:color w:val="000080"/>
          <w:sz w:val="24"/>
          <w:szCs w:val="24"/>
        </w:rPr>
      </w:pPr>
      <w:r>
        <w:rPr>
          <w:rFonts w:ascii="Arial" w:hAnsi="Arial" w:cs="Arial"/>
          <w:b/>
          <w:noProof/>
          <w:color w:val="000080"/>
          <w:sz w:val="24"/>
          <w:szCs w:val="24"/>
        </w:rPr>
        <w:drawing>
          <wp:anchor distT="0" distB="0" distL="114300" distR="114300" simplePos="0" relativeHeight="253190144" behindDoc="0" locked="0" layoutInCell="1" allowOverlap="1" wp14:anchorId="48AC95BE" wp14:editId="1FF97C8F">
            <wp:simplePos x="0" y="0"/>
            <wp:positionH relativeFrom="column">
              <wp:posOffset>624840</wp:posOffset>
            </wp:positionH>
            <wp:positionV relativeFrom="paragraph">
              <wp:posOffset>179070</wp:posOffset>
            </wp:positionV>
            <wp:extent cx="4229100" cy="2870200"/>
            <wp:effectExtent l="0" t="0" r="0" b="0"/>
            <wp:wrapSquare wrapText="bothSides"/>
            <wp:docPr id="292" name="Immagin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9100" cy="287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5217" w:rsidRDefault="005A5217" w:rsidP="00EA15BA">
      <w:pPr>
        <w:tabs>
          <w:tab w:val="left" w:pos="2289"/>
        </w:tabs>
        <w:spacing w:after="120"/>
        <w:jc w:val="right"/>
        <w:rPr>
          <w:rFonts w:ascii="Arial" w:hAnsi="Arial" w:cs="Arial"/>
          <w:b/>
          <w:color w:val="000080"/>
          <w:sz w:val="24"/>
          <w:szCs w:val="24"/>
        </w:rPr>
      </w:pPr>
    </w:p>
    <w:p w:rsidR="005A5217" w:rsidRDefault="005A5217" w:rsidP="00EA15BA">
      <w:pPr>
        <w:tabs>
          <w:tab w:val="left" w:pos="2289"/>
        </w:tabs>
        <w:spacing w:after="120"/>
        <w:jc w:val="right"/>
        <w:rPr>
          <w:rFonts w:ascii="Arial" w:hAnsi="Arial" w:cs="Arial"/>
          <w:b/>
          <w:color w:val="000080"/>
          <w:sz w:val="24"/>
          <w:szCs w:val="24"/>
        </w:rPr>
      </w:pPr>
    </w:p>
    <w:p w:rsidR="00082ED0" w:rsidRDefault="00082ED0" w:rsidP="00EA15BA">
      <w:pPr>
        <w:tabs>
          <w:tab w:val="left" w:pos="2289"/>
        </w:tabs>
        <w:spacing w:after="120"/>
        <w:jc w:val="right"/>
        <w:rPr>
          <w:rFonts w:ascii="Arial" w:hAnsi="Arial" w:cs="Arial"/>
          <w:b/>
          <w:color w:val="000080"/>
          <w:sz w:val="24"/>
          <w:szCs w:val="24"/>
        </w:rPr>
      </w:pPr>
    </w:p>
    <w:p w:rsidR="00082ED0" w:rsidRDefault="00082ED0" w:rsidP="00EA15BA">
      <w:pPr>
        <w:tabs>
          <w:tab w:val="left" w:pos="2289"/>
        </w:tabs>
        <w:spacing w:after="120"/>
        <w:jc w:val="right"/>
        <w:rPr>
          <w:rFonts w:ascii="Arial" w:hAnsi="Arial" w:cs="Arial"/>
          <w:b/>
          <w:color w:val="000080"/>
          <w:sz w:val="24"/>
          <w:szCs w:val="24"/>
        </w:rPr>
      </w:pPr>
    </w:p>
    <w:p w:rsidR="007A23E9" w:rsidRDefault="007A23E9" w:rsidP="00EA15BA">
      <w:pPr>
        <w:tabs>
          <w:tab w:val="left" w:pos="2289"/>
        </w:tabs>
        <w:spacing w:after="120"/>
        <w:jc w:val="right"/>
        <w:rPr>
          <w:rFonts w:ascii="Arial" w:hAnsi="Arial" w:cs="Arial"/>
          <w:b/>
          <w:color w:val="000080"/>
          <w:sz w:val="24"/>
          <w:szCs w:val="24"/>
        </w:rPr>
      </w:pPr>
    </w:p>
    <w:p w:rsidR="00082ED0" w:rsidRDefault="00082ED0" w:rsidP="00EA15BA">
      <w:pPr>
        <w:tabs>
          <w:tab w:val="left" w:pos="2289"/>
        </w:tabs>
        <w:spacing w:after="120"/>
        <w:jc w:val="right"/>
        <w:rPr>
          <w:rFonts w:ascii="Arial" w:hAnsi="Arial" w:cs="Arial"/>
          <w:b/>
          <w:color w:val="000080"/>
          <w:sz w:val="24"/>
          <w:szCs w:val="24"/>
        </w:rPr>
      </w:pPr>
    </w:p>
    <w:p w:rsidR="00082ED0" w:rsidRDefault="00082ED0" w:rsidP="00EA15BA">
      <w:pPr>
        <w:tabs>
          <w:tab w:val="left" w:pos="2289"/>
        </w:tabs>
        <w:spacing w:after="120"/>
        <w:jc w:val="right"/>
        <w:rPr>
          <w:rFonts w:ascii="Arial" w:hAnsi="Arial" w:cs="Arial"/>
          <w:b/>
          <w:color w:val="000080"/>
          <w:sz w:val="24"/>
          <w:szCs w:val="24"/>
        </w:rPr>
      </w:pPr>
    </w:p>
    <w:p w:rsidR="0060187E" w:rsidRDefault="0060187E" w:rsidP="00EA15BA">
      <w:pPr>
        <w:tabs>
          <w:tab w:val="left" w:pos="2289"/>
        </w:tabs>
        <w:spacing w:after="120"/>
        <w:jc w:val="right"/>
        <w:rPr>
          <w:rFonts w:ascii="Arial" w:hAnsi="Arial" w:cs="Arial"/>
          <w:b/>
          <w:color w:val="000080"/>
          <w:sz w:val="24"/>
          <w:szCs w:val="24"/>
        </w:rPr>
      </w:pPr>
    </w:p>
    <w:p w:rsidR="0060187E" w:rsidRDefault="0060187E" w:rsidP="00EA15BA">
      <w:pPr>
        <w:tabs>
          <w:tab w:val="left" w:pos="2289"/>
        </w:tabs>
        <w:spacing w:after="120"/>
        <w:jc w:val="right"/>
        <w:rPr>
          <w:rFonts w:ascii="Arial" w:hAnsi="Arial" w:cs="Arial"/>
          <w:b/>
          <w:color w:val="000080"/>
          <w:sz w:val="24"/>
          <w:szCs w:val="24"/>
        </w:rPr>
      </w:pPr>
    </w:p>
    <w:p w:rsidR="0060187E" w:rsidRDefault="0060187E" w:rsidP="00EA15BA">
      <w:pPr>
        <w:tabs>
          <w:tab w:val="left" w:pos="2289"/>
        </w:tabs>
        <w:spacing w:after="120"/>
        <w:jc w:val="right"/>
        <w:rPr>
          <w:rFonts w:ascii="Arial" w:hAnsi="Arial" w:cs="Arial"/>
          <w:b/>
          <w:color w:val="000080"/>
          <w:sz w:val="24"/>
          <w:szCs w:val="24"/>
        </w:rPr>
      </w:pPr>
    </w:p>
    <w:p w:rsidR="0060187E" w:rsidRDefault="0060187E" w:rsidP="00EA15BA">
      <w:pPr>
        <w:tabs>
          <w:tab w:val="left" w:pos="2289"/>
        </w:tabs>
        <w:spacing w:after="120"/>
        <w:jc w:val="right"/>
        <w:rPr>
          <w:rFonts w:ascii="Arial" w:hAnsi="Arial" w:cs="Arial"/>
          <w:b/>
          <w:color w:val="000080"/>
          <w:sz w:val="24"/>
          <w:szCs w:val="24"/>
        </w:rPr>
      </w:pPr>
    </w:p>
    <w:p w:rsidR="0060187E" w:rsidRDefault="0060187E" w:rsidP="00EA15BA">
      <w:pPr>
        <w:tabs>
          <w:tab w:val="left" w:pos="2289"/>
        </w:tabs>
        <w:spacing w:after="120"/>
        <w:jc w:val="right"/>
        <w:rPr>
          <w:rFonts w:ascii="Arial" w:hAnsi="Arial" w:cs="Arial"/>
          <w:b/>
          <w:color w:val="000080"/>
          <w:sz w:val="24"/>
          <w:szCs w:val="24"/>
        </w:rPr>
      </w:pPr>
    </w:p>
    <w:tbl>
      <w:tblPr>
        <w:tblW w:w="8774" w:type="dxa"/>
        <w:jc w:val="center"/>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7219"/>
      </w:tblGrid>
      <w:tr w:rsidR="00082ED0" w:rsidTr="006B20C7">
        <w:trPr>
          <w:trHeight w:val="1206"/>
          <w:jc w:val="center"/>
        </w:trPr>
        <w:tc>
          <w:tcPr>
            <w:tcW w:w="1555" w:type="dxa"/>
            <w:tcBorders>
              <w:top w:val="nil"/>
              <w:left w:val="nil"/>
              <w:bottom w:val="nil"/>
              <w:right w:val="nil"/>
            </w:tcBorders>
          </w:tcPr>
          <w:p w:rsidR="00082ED0" w:rsidRPr="00E3665C" w:rsidRDefault="00082ED0" w:rsidP="00E3665C">
            <w:pPr>
              <w:suppressAutoHyphens/>
              <w:rPr>
                <w:rFonts w:ascii="Arial" w:hAnsi="Arial" w:cs="Arial"/>
                <w:b/>
                <w:color w:val="000080"/>
              </w:rPr>
            </w:pPr>
            <w:bookmarkStart w:id="11" w:name="_GoBack"/>
            <w:bookmarkEnd w:id="11"/>
          </w:p>
        </w:tc>
        <w:tc>
          <w:tcPr>
            <w:tcW w:w="7219" w:type="dxa"/>
            <w:tcBorders>
              <w:top w:val="nil"/>
              <w:left w:val="nil"/>
              <w:bottom w:val="nil"/>
              <w:right w:val="nil"/>
            </w:tcBorders>
          </w:tcPr>
          <w:p w:rsidR="00E6504A" w:rsidRPr="00AC035B" w:rsidRDefault="006B20C7" w:rsidP="001A7EBD">
            <w:pPr>
              <w:spacing w:after="120"/>
              <w:jc w:val="both"/>
              <w:rPr>
                <w:rFonts w:ascii="Arial" w:hAnsi="Arial" w:cs="Arial"/>
                <w:sz w:val="22"/>
                <w:szCs w:val="24"/>
                <w:highlight w:val="yellow"/>
              </w:rPr>
            </w:pPr>
            <w:r w:rsidRPr="006B20C7">
              <w:rPr>
                <w:rFonts w:ascii="Arial" w:hAnsi="Arial" w:cs="Arial"/>
                <w:sz w:val="22"/>
                <w:szCs w:val="24"/>
              </w:rPr>
              <w:t>La forte caduta dei permessi di costruire nella regione tra il 2005 e il 2012 (-85,1%) si riscontra in tutte le province che mostrano flessioni s</w:t>
            </w:r>
            <w:r w:rsidRPr="006B20C7">
              <w:rPr>
                <w:rFonts w:ascii="Arial" w:hAnsi="Arial" w:cs="Arial"/>
                <w:sz w:val="22"/>
                <w:szCs w:val="24"/>
              </w:rPr>
              <w:t>i</w:t>
            </w:r>
            <w:r w:rsidRPr="006B20C7">
              <w:rPr>
                <w:rFonts w:ascii="Arial" w:hAnsi="Arial" w:cs="Arial"/>
                <w:sz w:val="22"/>
                <w:szCs w:val="24"/>
              </w:rPr>
              <w:t>gnificative e addirittura superiori alla media regionale per sei province su nove (il calo più elevato si riscontra a Ferrara: -93,2%).</w:t>
            </w:r>
          </w:p>
        </w:tc>
      </w:tr>
      <w:tr w:rsidR="00E3665C" w:rsidTr="006B20C7">
        <w:trPr>
          <w:trHeight w:val="1691"/>
          <w:jc w:val="center"/>
        </w:trPr>
        <w:tc>
          <w:tcPr>
            <w:tcW w:w="1555" w:type="dxa"/>
            <w:tcBorders>
              <w:top w:val="nil"/>
              <w:left w:val="nil"/>
              <w:bottom w:val="nil"/>
              <w:right w:val="nil"/>
            </w:tcBorders>
            <w:hideMark/>
          </w:tcPr>
          <w:p w:rsidR="00E3665C" w:rsidRPr="00AC035B" w:rsidRDefault="00E3665C" w:rsidP="007904B6">
            <w:pPr>
              <w:suppressAutoHyphens/>
              <w:rPr>
                <w:rFonts w:ascii="Arial" w:hAnsi="Arial" w:cs="Arial"/>
                <w:b/>
                <w:color w:val="000080"/>
                <w:highlight w:val="yellow"/>
              </w:rPr>
            </w:pPr>
            <w:r w:rsidRPr="006B20C7">
              <w:rPr>
                <w:rFonts w:ascii="Arial" w:hAnsi="Arial" w:cs="Arial"/>
                <w:b/>
                <w:color w:val="000080"/>
              </w:rPr>
              <w:t>Crescono i bandi di gara per lavori</w:t>
            </w:r>
            <w:r w:rsidR="00EC4F79" w:rsidRPr="006B20C7">
              <w:rPr>
                <w:rFonts w:ascii="Arial" w:hAnsi="Arial" w:cs="Arial"/>
                <w:b/>
                <w:color w:val="000080"/>
              </w:rPr>
              <w:t xml:space="preserve"> pubblici</w:t>
            </w:r>
            <w:r w:rsidRPr="006B20C7">
              <w:rPr>
                <w:rFonts w:ascii="Arial" w:hAnsi="Arial" w:cs="Arial"/>
                <w:b/>
                <w:color w:val="000080"/>
              </w:rPr>
              <w:t xml:space="preserve"> nel 2014</w:t>
            </w:r>
            <w:r w:rsidR="006B20C7">
              <w:rPr>
                <w:rFonts w:ascii="Arial" w:hAnsi="Arial" w:cs="Arial"/>
                <w:b/>
                <w:color w:val="000080"/>
              </w:rPr>
              <w:t xml:space="preserve"> ma i livelli rimangono bassi</w:t>
            </w:r>
          </w:p>
        </w:tc>
        <w:tc>
          <w:tcPr>
            <w:tcW w:w="7219" w:type="dxa"/>
            <w:tcBorders>
              <w:top w:val="nil"/>
              <w:left w:val="nil"/>
              <w:bottom w:val="nil"/>
              <w:right w:val="nil"/>
            </w:tcBorders>
            <w:hideMark/>
          </w:tcPr>
          <w:p w:rsidR="00E3665C" w:rsidRPr="00AC035B" w:rsidRDefault="006B20C7" w:rsidP="00EC4F79">
            <w:pPr>
              <w:spacing w:after="120"/>
              <w:jc w:val="both"/>
              <w:rPr>
                <w:rFonts w:ascii="Arial" w:hAnsi="Arial" w:cs="Arial"/>
                <w:sz w:val="22"/>
                <w:szCs w:val="24"/>
                <w:highlight w:val="yellow"/>
              </w:rPr>
            </w:pPr>
            <w:r w:rsidRPr="006B20C7">
              <w:rPr>
                <w:rFonts w:ascii="Arial" w:hAnsi="Arial" w:cs="Arial"/>
                <w:sz w:val="22"/>
                <w:szCs w:val="24"/>
              </w:rPr>
              <w:t>Nel corso del 2014, in Emilia-Romagna, risultano pubblicati 486 bandi di gara per lavori pubblici per un importo posto in gara di 961 milioni di euro. Rispetto al 2013 si  registra una dinamica di crescita sia nel n</w:t>
            </w:r>
            <w:r w:rsidRPr="006B20C7">
              <w:rPr>
                <w:rFonts w:ascii="Arial" w:hAnsi="Arial" w:cs="Arial"/>
                <w:sz w:val="22"/>
                <w:szCs w:val="24"/>
              </w:rPr>
              <w:t>u</w:t>
            </w:r>
            <w:r w:rsidRPr="006B20C7">
              <w:rPr>
                <w:rFonts w:ascii="Arial" w:hAnsi="Arial" w:cs="Arial"/>
                <w:sz w:val="22"/>
                <w:szCs w:val="24"/>
              </w:rPr>
              <w:t>mero (+12,2%) che in valore (+34,6%). L’ammontare degli importi posti in gara si colloca tuttavia su livelli piuttosto bassi, molto inferiori rispetto a quelli rilevati, ad esempio, nel 2010 e negli anni precedenti</w:t>
            </w:r>
            <w:r>
              <w:rPr>
                <w:rFonts w:ascii="Arial" w:hAnsi="Arial" w:cs="Arial"/>
                <w:sz w:val="22"/>
                <w:szCs w:val="24"/>
              </w:rPr>
              <w:t>.</w:t>
            </w:r>
          </w:p>
        </w:tc>
      </w:tr>
    </w:tbl>
    <w:p w:rsidR="005A5D46" w:rsidRDefault="007A23E9" w:rsidP="00546ED1">
      <w:pPr>
        <w:jc w:val="right"/>
        <w:rPr>
          <w:noProof/>
        </w:rPr>
      </w:pPr>
      <w:r>
        <w:rPr>
          <w:noProof/>
        </w:rPr>
        <w:drawing>
          <wp:anchor distT="0" distB="0" distL="114300" distR="114300" simplePos="0" relativeHeight="253191168" behindDoc="0" locked="0" layoutInCell="1" allowOverlap="1" wp14:anchorId="5B986EAF" wp14:editId="01DB048C">
            <wp:simplePos x="0" y="0"/>
            <wp:positionH relativeFrom="column">
              <wp:posOffset>1043940</wp:posOffset>
            </wp:positionH>
            <wp:positionV relativeFrom="paragraph">
              <wp:posOffset>30480</wp:posOffset>
            </wp:positionV>
            <wp:extent cx="3581400" cy="2781300"/>
            <wp:effectExtent l="0" t="0" r="0" b="0"/>
            <wp:wrapSquare wrapText="bothSides"/>
            <wp:docPr id="295" name="Immagin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1400" cy="278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5D46" w:rsidRDefault="005A5D46" w:rsidP="00546ED1">
      <w:pPr>
        <w:jc w:val="right"/>
        <w:rPr>
          <w:noProof/>
        </w:rPr>
      </w:pPr>
    </w:p>
    <w:p w:rsidR="00435CFA" w:rsidRDefault="00435CFA" w:rsidP="00546ED1">
      <w:pPr>
        <w:jc w:val="right"/>
      </w:pPr>
    </w:p>
    <w:p w:rsidR="0022209D" w:rsidRDefault="0022209D" w:rsidP="00957BE9">
      <w:pPr>
        <w:jc w:val="center"/>
      </w:pPr>
    </w:p>
    <w:p w:rsidR="0022209D" w:rsidRDefault="0022209D" w:rsidP="00957BE9">
      <w:pPr>
        <w:jc w:val="center"/>
      </w:pPr>
    </w:p>
    <w:p w:rsidR="00235529" w:rsidRDefault="00235529" w:rsidP="00957BE9">
      <w:pPr>
        <w:jc w:val="center"/>
      </w:pPr>
    </w:p>
    <w:p w:rsidR="00235529" w:rsidRDefault="00235529" w:rsidP="00957BE9">
      <w:pPr>
        <w:jc w:val="center"/>
      </w:pPr>
    </w:p>
    <w:p w:rsidR="00235529" w:rsidRDefault="00235529" w:rsidP="00957BE9">
      <w:pPr>
        <w:jc w:val="center"/>
      </w:pPr>
    </w:p>
    <w:p w:rsidR="00235529" w:rsidRDefault="00235529" w:rsidP="00957BE9">
      <w:pPr>
        <w:jc w:val="center"/>
      </w:pPr>
    </w:p>
    <w:p w:rsidR="00235529" w:rsidRDefault="00235529" w:rsidP="00957BE9">
      <w:pPr>
        <w:jc w:val="center"/>
      </w:pPr>
    </w:p>
    <w:p w:rsidR="00235529" w:rsidRDefault="00235529" w:rsidP="00957BE9">
      <w:pPr>
        <w:jc w:val="center"/>
      </w:pPr>
    </w:p>
    <w:p w:rsidR="00235529" w:rsidRDefault="00235529" w:rsidP="00957BE9">
      <w:pPr>
        <w:jc w:val="center"/>
      </w:pPr>
    </w:p>
    <w:p w:rsidR="00235529" w:rsidRDefault="00235529" w:rsidP="00957BE9">
      <w:pPr>
        <w:jc w:val="center"/>
      </w:pPr>
    </w:p>
    <w:p w:rsidR="00235529" w:rsidRDefault="00235529" w:rsidP="00957BE9">
      <w:pPr>
        <w:jc w:val="center"/>
      </w:pPr>
    </w:p>
    <w:p w:rsidR="00235529" w:rsidRDefault="00235529" w:rsidP="00957BE9">
      <w:pPr>
        <w:jc w:val="center"/>
      </w:pPr>
    </w:p>
    <w:p w:rsidR="00235529" w:rsidRDefault="00235529" w:rsidP="00957BE9">
      <w:pPr>
        <w:jc w:val="center"/>
      </w:pPr>
    </w:p>
    <w:p w:rsidR="00235529" w:rsidRDefault="00235529" w:rsidP="00957BE9">
      <w:pPr>
        <w:jc w:val="center"/>
      </w:pPr>
    </w:p>
    <w:p w:rsidR="00235529" w:rsidRDefault="00235529" w:rsidP="00957BE9">
      <w:pPr>
        <w:jc w:val="center"/>
      </w:pPr>
    </w:p>
    <w:p w:rsidR="00235529" w:rsidRDefault="00235529" w:rsidP="00957BE9">
      <w:pPr>
        <w:jc w:val="center"/>
      </w:pPr>
    </w:p>
    <w:p w:rsidR="00235529" w:rsidRDefault="00235529" w:rsidP="00957BE9">
      <w:pPr>
        <w:jc w:val="center"/>
      </w:pPr>
    </w:p>
    <w:tbl>
      <w:tblPr>
        <w:tblW w:w="8725" w:type="dxa"/>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7165"/>
      </w:tblGrid>
      <w:tr w:rsidR="00E3665C" w:rsidTr="00E3665C">
        <w:trPr>
          <w:jc w:val="center"/>
        </w:trPr>
        <w:tc>
          <w:tcPr>
            <w:tcW w:w="1560" w:type="dxa"/>
            <w:tcBorders>
              <w:top w:val="nil"/>
              <w:left w:val="nil"/>
              <w:bottom w:val="nil"/>
              <w:right w:val="nil"/>
            </w:tcBorders>
          </w:tcPr>
          <w:p w:rsidR="00E3665C" w:rsidRDefault="00E3665C" w:rsidP="004E25A3">
            <w:pPr>
              <w:suppressAutoHyphens/>
              <w:spacing w:after="120"/>
              <w:rPr>
                <w:rFonts w:ascii="Arial" w:hAnsi="Arial" w:cs="Arial"/>
                <w:b/>
                <w:color w:val="000080"/>
                <w:sz w:val="22"/>
                <w:szCs w:val="22"/>
              </w:rPr>
            </w:pPr>
            <w:r>
              <w:rPr>
                <w:rFonts w:ascii="Arial" w:hAnsi="Arial" w:cs="Arial"/>
                <w:b/>
                <w:color w:val="000080"/>
                <w:sz w:val="22"/>
                <w:szCs w:val="22"/>
              </w:rPr>
              <w:tab/>
            </w:r>
          </w:p>
          <w:p w:rsidR="00031882" w:rsidRDefault="00031882" w:rsidP="004E25A3">
            <w:pPr>
              <w:suppressAutoHyphens/>
              <w:spacing w:after="120"/>
              <w:rPr>
                <w:rFonts w:ascii="Arial" w:hAnsi="Arial" w:cs="Arial"/>
                <w:b/>
                <w:color w:val="000080"/>
                <w:sz w:val="22"/>
                <w:szCs w:val="22"/>
              </w:rPr>
            </w:pPr>
          </w:p>
        </w:tc>
        <w:tc>
          <w:tcPr>
            <w:tcW w:w="7165" w:type="dxa"/>
            <w:tcBorders>
              <w:top w:val="nil"/>
              <w:left w:val="nil"/>
              <w:bottom w:val="nil"/>
              <w:right w:val="nil"/>
            </w:tcBorders>
          </w:tcPr>
          <w:p w:rsidR="00E3665C" w:rsidRPr="00AC035B" w:rsidRDefault="006B20C7" w:rsidP="005B721F">
            <w:pPr>
              <w:spacing w:after="120"/>
              <w:jc w:val="both"/>
              <w:rPr>
                <w:rFonts w:ascii="Arial" w:hAnsi="Arial" w:cs="Arial"/>
                <w:sz w:val="22"/>
                <w:szCs w:val="24"/>
                <w:highlight w:val="yellow"/>
              </w:rPr>
            </w:pPr>
            <w:r w:rsidRPr="006B20C7">
              <w:rPr>
                <w:rFonts w:ascii="Arial" w:hAnsi="Arial" w:cs="Arial"/>
                <w:i/>
                <w:sz w:val="22"/>
                <w:szCs w:val="24"/>
              </w:rPr>
              <w:t>L’aumento registrato in termini di importo nel 2014 è imputabile, in pa</w:t>
            </w:r>
            <w:r w:rsidRPr="006B20C7">
              <w:rPr>
                <w:rFonts w:ascii="Arial" w:hAnsi="Arial" w:cs="Arial"/>
                <w:i/>
                <w:sz w:val="22"/>
                <w:szCs w:val="24"/>
              </w:rPr>
              <w:t>r</w:t>
            </w:r>
            <w:r w:rsidRPr="006B20C7">
              <w:rPr>
                <w:rFonts w:ascii="Arial" w:hAnsi="Arial" w:cs="Arial"/>
                <w:i/>
                <w:sz w:val="22"/>
                <w:szCs w:val="24"/>
              </w:rPr>
              <w:t>ticolare, a due bandi di importo superiore ai 100 milioni di euro pubbl</w:t>
            </w:r>
            <w:r w:rsidRPr="006B20C7">
              <w:rPr>
                <w:rFonts w:ascii="Arial" w:hAnsi="Arial" w:cs="Arial"/>
                <w:i/>
                <w:sz w:val="22"/>
                <w:szCs w:val="24"/>
              </w:rPr>
              <w:t>i</w:t>
            </w:r>
            <w:r w:rsidRPr="006B20C7">
              <w:rPr>
                <w:rFonts w:ascii="Arial" w:hAnsi="Arial" w:cs="Arial"/>
                <w:i/>
                <w:sz w:val="22"/>
                <w:szCs w:val="24"/>
              </w:rPr>
              <w:t>cati lo scorso anno  (per complessivi 258 milioni di euro), a fronte di nessuna pubblicazione nel 2013. Al netto di tali grandi lavori, il risult</w:t>
            </w:r>
            <w:r w:rsidRPr="006B20C7">
              <w:rPr>
                <w:rFonts w:ascii="Arial" w:hAnsi="Arial" w:cs="Arial"/>
                <w:i/>
                <w:sz w:val="22"/>
                <w:szCs w:val="24"/>
              </w:rPr>
              <w:t>a</w:t>
            </w:r>
            <w:r w:rsidRPr="006B20C7">
              <w:rPr>
                <w:rFonts w:ascii="Arial" w:hAnsi="Arial" w:cs="Arial"/>
                <w:i/>
                <w:sz w:val="22"/>
                <w:szCs w:val="24"/>
              </w:rPr>
              <w:t>to, sempre positivo nel numero (+11,8%), registra un calo dell’1,6%, sintesi di flessioni nell’importo per tutti i tagli di lavori ad eccezione de</w:t>
            </w:r>
            <w:r w:rsidRPr="006B20C7">
              <w:rPr>
                <w:rFonts w:ascii="Arial" w:hAnsi="Arial" w:cs="Arial"/>
                <w:i/>
                <w:sz w:val="22"/>
                <w:szCs w:val="24"/>
              </w:rPr>
              <w:t>l</w:t>
            </w:r>
            <w:r w:rsidRPr="006B20C7">
              <w:rPr>
                <w:rFonts w:ascii="Arial" w:hAnsi="Arial" w:cs="Arial"/>
                <w:i/>
                <w:sz w:val="22"/>
                <w:szCs w:val="24"/>
              </w:rPr>
              <w:t>le classi 1-5 milioni di euro (+18,5%) e 5-15 milioni di euro (+71,6%).</w:t>
            </w:r>
          </w:p>
        </w:tc>
      </w:tr>
    </w:tbl>
    <w:p w:rsidR="00435CFA" w:rsidRDefault="00235529" w:rsidP="00E3665C">
      <w:pPr>
        <w:tabs>
          <w:tab w:val="left" w:pos="2291"/>
        </w:tabs>
        <w:spacing w:after="120"/>
        <w:ind w:left="268"/>
        <w:jc w:val="right"/>
        <w:rPr>
          <w:rFonts w:ascii="Arial" w:hAnsi="Arial" w:cs="Arial"/>
          <w:sz w:val="24"/>
          <w:szCs w:val="24"/>
        </w:rPr>
      </w:pPr>
      <w:r>
        <w:rPr>
          <w:rFonts w:ascii="Arial" w:hAnsi="Arial" w:cs="Arial"/>
          <w:noProof/>
          <w:sz w:val="24"/>
          <w:szCs w:val="24"/>
        </w:rPr>
        <w:drawing>
          <wp:anchor distT="0" distB="0" distL="114300" distR="114300" simplePos="0" relativeHeight="253193216" behindDoc="0" locked="0" layoutInCell="1" allowOverlap="1" wp14:anchorId="4A4A2196" wp14:editId="18F75036">
            <wp:simplePos x="0" y="0"/>
            <wp:positionH relativeFrom="column">
              <wp:posOffset>1058545</wp:posOffset>
            </wp:positionH>
            <wp:positionV relativeFrom="paragraph">
              <wp:posOffset>144780</wp:posOffset>
            </wp:positionV>
            <wp:extent cx="4204335" cy="3333115"/>
            <wp:effectExtent l="0" t="0" r="5715" b="0"/>
            <wp:wrapSquare wrapText="bothSides"/>
            <wp:docPr id="302" name="Immagin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4335" cy="3333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5CFA" w:rsidRDefault="00435CFA" w:rsidP="00E3665C">
      <w:pPr>
        <w:tabs>
          <w:tab w:val="left" w:pos="2291"/>
        </w:tabs>
        <w:spacing w:after="120"/>
        <w:ind w:left="268"/>
        <w:jc w:val="right"/>
        <w:rPr>
          <w:rFonts w:ascii="Arial" w:hAnsi="Arial" w:cs="Arial"/>
          <w:sz w:val="24"/>
          <w:szCs w:val="24"/>
        </w:rPr>
      </w:pPr>
    </w:p>
    <w:p w:rsidR="00435CFA" w:rsidRDefault="00435CFA" w:rsidP="00E3665C">
      <w:pPr>
        <w:tabs>
          <w:tab w:val="left" w:pos="2291"/>
        </w:tabs>
        <w:spacing w:after="120"/>
        <w:ind w:left="268"/>
        <w:jc w:val="right"/>
        <w:rPr>
          <w:rFonts w:ascii="Arial" w:hAnsi="Arial" w:cs="Arial"/>
          <w:sz w:val="24"/>
          <w:szCs w:val="24"/>
        </w:rPr>
      </w:pPr>
    </w:p>
    <w:p w:rsidR="00435CFA" w:rsidRDefault="00435CFA" w:rsidP="00E3665C">
      <w:pPr>
        <w:tabs>
          <w:tab w:val="left" w:pos="2291"/>
        </w:tabs>
        <w:spacing w:after="120"/>
        <w:ind w:left="268"/>
        <w:jc w:val="right"/>
        <w:rPr>
          <w:rFonts w:ascii="Arial" w:hAnsi="Arial" w:cs="Arial"/>
          <w:sz w:val="24"/>
          <w:szCs w:val="24"/>
        </w:rPr>
      </w:pPr>
    </w:p>
    <w:p w:rsidR="00435CFA" w:rsidRDefault="00435CFA" w:rsidP="00E3665C">
      <w:pPr>
        <w:tabs>
          <w:tab w:val="left" w:pos="2291"/>
        </w:tabs>
        <w:spacing w:after="120"/>
        <w:ind w:left="268"/>
        <w:jc w:val="right"/>
        <w:rPr>
          <w:rFonts w:ascii="Arial" w:hAnsi="Arial" w:cs="Arial"/>
          <w:sz w:val="24"/>
          <w:szCs w:val="24"/>
        </w:rPr>
      </w:pPr>
    </w:p>
    <w:p w:rsidR="00E3665C" w:rsidRDefault="00E3665C" w:rsidP="00E3665C">
      <w:pPr>
        <w:tabs>
          <w:tab w:val="left" w:pos="2291"/>
        </w:tabs>
        <w:spacing w:after="120"/>
        <w:ind w:left="268"/>
        <w:jc w:val="right"/>
      </w:pPr>
      <w:r>
        <w:rPr>
          <w:rFonts w:ascii="Arial" w:hAnsi="Arial" w:cs="Arial"/>
          <w:sz w:val="24"/>
          <w:szCs w:val="24"/>
        </w:rPr>
        <w:t>.</w:t>
      </w:r>
    </w:p>
    <w:p w:rsidR="00435CFA" w:rsidRDefault="00435CFA" w:rsidP="00A56454">
      <w:pPr>
        <w:pStyle w:val="Titolo1"/>
      </w:pPr>
    </w:p>
    <w:p w:rsidR="00435CFA" w:rsidRDefault="00435CFA" w:rsidP="00A56454">
      <w:pPr>
        <w:pStyle w:val="Titolo1"/>
      </w:pPr>
    </w:p>
    <w:p w:rsidR="00435CFA" w:rsidRDefault="00435CFA" w:rsidP="00A56454">
      <w:pPr>
        <w:pStyle w:val="Titolo1"/>
      </w:pPr>
    </w:p>
    <w:p w:rsidR="00435CFA" w:rsidRDefault="00435CFA" w:rsidP="00A56454">
      <w:pPr>
        <w:pStyle w:val="Titolo1"/>
      </w:pPr>
    </w:p>
    <w:p w:rsidR="00B34855" w:rsidRDefault="00B34855" w:rsidP="00B34855"/>
    <w:p w:rsidR="00B34855" w:rsidRDefault="00B34855" w:rsidP="00B34855"/>
    <w:p w:rsidR="001D4212" w:rsidRDefault="001D4212" w:rsidP="00B34855"/>
    <w:p w:rsidR="001D4212" w:rsidRDefault="001D4212" w:rsidP="00B34855"/>
    <w:p w:rsidR="001D4212" w:rsidRDefault="001D4212" w:rsidP="00B34855"/>
    <w:p w:rsidR="00577ADC" w:rsidRDefault="00577ADC" w:rsidP="00B34855"/>
    <w:p w:rsidR="00577ADC" w:rsidRDefault="00577ADC" w:rsidP="00B34855"/>
    <w:p w:rsidR="00577ADC" w:rsidRDefault="00235529" w:rsidP="00B34855">
      <w:r>
        <w:rPr>
          <w:noProof/>
        </w:rPr>
        <w:drawing>
          <wp:anchor distT="0" distB="0" distL="114300" distR="114300" simplePos="0" relativeHeight="253219840" behindDoc="0" locked="0" layoutInCell="1" allowOverlap="1" wp14:anchorId="62CCF47E" wp14:editId="6BCC6D8C">
            <wp:simplePos x="0" y="0"/>
            <wp:positionH relativeFrom="column">
              <wp:posOffset>950595</wp:posOffset>
            </wp:positionH>
            <wp:positionV relativeFrom="paragraph">
              <wp:posOffset>-255905</wp:posOffset>
            </wp:positionV>
            <wp:extent cx="4342130" cy="3057525"/>
            <wp:effectExtent l="0" t="0" r="1270" b="0"/>
            <wp:wrapSquare wrapText="bothSides"/>
            <wp:docPr id="303" name="Immagin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2130" cy="305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7ADC" w:rsidRDefault="00577ADC" w:rsidP="00B34855"/>
    <w:p w:rsidR="00577ADC" w:rsidRDefault="00577ADC" w:rsidP="00B34855"/>
    <w:p w:rsidR="00577ADC" w:rsidRDefault="00577ADC" w:rsidP="00B34855"/>
    <w:p w:rsidR="00577ADC" w:rsidRDefault="00577ADC" w:rsidP="00B34855"/>
    <w:p w:rsidR="00577ADC" w:rsidRDefault="00577ADC" w:rsidP="00B34855"/>
    <w:p w:rsidR="00577ADC" w:rsidRDefault="00577ADC" w:rsidP="00B34855"/>
    <w:p w:rsidR="00577ADC" w:rsidRDefault="00577ADC" w:rsidP="00B34855"/>
    <w:p w:rsidR="00577ADC" w:rsidRDefault="00577ADC" w:rsidP="00B34855"/>
    <w:p w:rsidR="00577ADC" w:rsidRDefault="00577ADC" w:rsidP="00B34855"/>
    <w:p w:rsidR="00577ADC" w:rsidRDefault="00577ADC" w:rsidP="00B34855"/>
    <w:p w:rsidR="00577ADC" w:rsidRDefault="00577ADC" w:rsidP="00B34855"/>
    <w:p w:rsidR="00577ADC" w:rsidRDefault="00577ADC" w:rsidP="00B34855"/>
    <w:p w:rsidR="00577ADC" w:rsidRDefault="00577ADC" w:rsidP="00B34855"/>
    <w:p w:rsidR="00577ADC" w:rsidRDefault="00577ADC" w:rsidP="00B34855"/>
    <w:p w:rsidR="00577ADC" w:rsidRDefault="00577ADC" w:rsidP="00B34855"/>
    <w:p w:rsidR="00235529" w:rsidRDefault="00235529" w:rsidP="00B34855"/>
    <w:p w:rsidR="00235529" w:rsidRDefault="00235529" w:rsidP="00B34855"/>
    <w:p w:rsidR="00235529" w:rsidRDefault="00235529" w:rsidP="00B34855"/>
    <w:p w:rsidR="00235529" w:rsidRDefault="00235529" w:rsidP="00B34855"/>
    <w:tbl>
      <w:tblPr>
        <w:tblW w:w="8725" w:type="dxa"/>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7165"/>
      </w:tblGrid>
      <w:tr w:rsidR="00435CFA" w:rsidTr="00C90EDB">
        <w:trPr>
          <w:jc w:val="center"/>
        </w:trPr>
        <w:tc>
          <w:tcPr>
            <w:tcW w:w="1560" w:type="dxa"/>
            <w:tcBorders>
              <w:top w:val="nil"/>
              <w:left w:val="nil"/>
              <w:bottom w:val="nil"/>
              <w:right w:val="nil"/>
            </w:tcBorders>
          </w:tcPr>
          <w:p w:rsidR="00435CFA" w:rsidRDefault="00435CFA" w:rsidP="00C90EDB">
            <w:pPr>
              <w:suppressAutoHyphens/>
              <w:spacing w:after="120"/>
              <w:rPr>
                <w:rFonts w:ascii="Arial" w:hAnsi="Arial" w:cs="Arial"/>
                <w:b/>
                <w:color w:val="000080"/>
                <w:sz w:val="22"/>
                <w:szCs w:val="22"/>
              </w:rPr>
            </w:pPr>
          </w:p>
        </w:tc>
        <w:tc>
          <w:tcPr>
            <w:tcW w:w="7165" w:type="dxa"/>
            <w:tcBorders>
              <w:top w:val="nil"/>
              <w:left w:val="nil"/>
              <w:bottom w:val="nil"/>
              <w:right w:val="nil"/>
            </w:tcBorders>
          </w:tcPr>
          <w:p w:rsidR="00435CFA" w:rsidRPr="00AC035B" w:rsidRDefault="00577ADC" w:rsidP="00EA0B31">
            <w:pPr>
              <w:spacing w:after="120"/>
              <w:jc w:val="both"/>
              <w:rPr>
                <w:rFonts w:ascii="Arial" w:hAnsi="Arial" w:cs="Arial"/>
                <w:b/>
                <w:sz w:val="22"/>
                <w:szCs w:val="24"/>
                <w:highlight w:val="yellow"/>
              </w:rPr>
            </w:pPr>
            <w:r w:rsidRPr="00577ADC">
              <w:rPr>
                <w:rFonts w:ascii="Arial" w:hAnsi="Arial" w:cs="Arial"/>
                <w:sz w:val="22"/>
              </w:rPr>
              <w:t>Nei primi tre mesi del 2015 la dinamica, rispetto allo stesso periodo dell’anno precedente, risulta negativa nel numero (-3,4%) e in aumento negli importi posti in gara (+31,6%). In particolare, la fascia di lavori f</w:t>
            </w:r>
            <w:r w:rsidRPr="00577ADC">
              <w:rPr>
                <w:rFonts w:ascii="Arial" w:hAnsi="Arial" w:cs="Arial"/>
                <w:sz w:val="22"/>
              </w:rPr>
              <w:t>i</w:t>
            </w:r>
            <w:r w:rsidRPr="00577ADC">
              <w:rPr>
                <w:rFonts w:ascii="Arial" w:hAnsi="Arial" w:cs="Arial"/>
                <w:sz w:val="22"/>
              </w:rPr>
              <w:t>no a un milione rileva un segno positivo (+1,3% in numero e +0,5% in valore), mentre i bandi di importo compreso tra 1 milione e 15 milioni di euro sperimentano flessioni. Nelle successive due classi (15-25 milioni di euro e 25-50 milioni di euro) sono stati pubblicate tre gare (contro nessuna di un anno prima) relative ai bandi posti in gara dall’Agenzia del Demanio per il piano di manutenzione ordinaria e straordinaria su immobili statali in Emilia-Romagna.</w:t>
            </w:r>
          </w:p>
        </w:tc>
      </w:tr>
    </w:tbl>
    <w:p w:rsidR="00E562B2" w:rsidRDefault="00577ADC" w:rsidP="001C4E2C">
      <w:r>
        <w:rPr>
          <w:noProof/>
        </w:rPr>
        <w:drawing>
          <wp:anchor distT="0" distB="0" distL="114300" distR="114300" simplePos="0" relativeHeight="253195264" behindDoc="0" locked="0" layoutInCell="1" allowOverlap="1" wp14:anchorId="1C9383A8" wp14:editId="622E77CE">
            <wp:simplePos x="0" y="0"/>
            <wp:positionH relativeFrom="column">
              <wp:posOffset>-499110</wp:posOffset>
            </wp:positionH>
            <wp:positionV relativeFrom="paragraph">
              <wp:posOffset>127000</wp:posOffset>
            </wp:positionV>
            <wp:extent cx="6115050" cy="2362200"/>
            <wp:effectExtent l="0" t="0" r="0" b="0"/>
            <wp:wrapSquare wrapText="bothSides"/>
            <wp:docPr id="304" name="Immagin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8725" w:type="dxa"/>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7165"/>
      </w:tblGrid>
      <w:tr w:rsidR="00577ADC" w:rsidTr="00A16BCD">
        <w:trPr>
          <w:jc w:val="center"/>
        </w:trPr>
        <w:tc>
          <w:tcPr>
            <w:tcW w:w="1560" w:type="dxa"/>
            <w:tcBorders>
              <w:top w:val="nil"/>
              <w:left w:val="nil"/>
              <w:bottom w:val="nil"/>
              <w:right w:val="nil"/>
            </w:tcBorders>
          </w:tcPr>
          <w:p w:rsidR="00577ADC" w:rsidRPr="00AC035B" w:rsidRDefault="00577ADC" w:rsidP="00A16BCD">
            <w:pPr>
              <w:suppressAutoHyphens/>
              <w:spacing w:after="120"/>
              <w:rPr>
                <w:rFonts w:ascii="Arial" w:hAnsi="Arial" w:cs="Arial"/>
                <w:b/>
                <w:color w:val="000080"/>
                <w:sz w:val="22"/>
                <w:szCs w:val="22"/>
                <w:highlight w:val="yellow"/>
              </w:rPr>
            </w:pPr>
          </w:p>
        </w:tc>
        <w:tc>
          <w:tcPr>
            <w:tcW w:w="7165" w:type="dxa"/>
            <w:tcBorders>
              <w:top w:val="nil"/>
              <w:left w:val="nil"/>
              <w:bottom w:val="nil"/>
              <w:right w:val="nil"/>
            </w:tcBorders>
          </w:tcPr>
          <w:p w:rsidR="00577ADC" w:rsidRPr="00AC035B" w:rsidRDefault="00577ADC" w:rsidP="00A16BCD">
            <w:pPr>
              <w:spacing w:after="120"/>
              <w:jc w:val="both"/>
              <w:rPr>
                <w:rFonts w:ascii="Arial" w:hAnsi="Arial" w:cs="Arial"/>
                <w:b/>
                <w:sz w:val="22"/>
                <w:szCs w:val="24"/>
                <w:highlight w:val="yellow"/>
              </w:rPr>
            </w:pPr>
            <w:r w:rsidRPr="00577ADC">
              <w:rPr>
                <w:rFonts w:ascii="Arial" w:hAnsi="Arial" w:cs="Arial"/>
                <w:sz w:val="22"/>
              </w:rPr>
              <w:t>Si segnalano, infine, alcuni bandi di gara di importo rilevante che, non essendo ripartibili per regione non sono stati considerati nell’analisi. Si tratta di gare bandite dal gruppo Ferrovie dello Stato e, in particolare, alcuni di questi interventi rientrano nel programma di rinnovo, man</w:t>
            </w:r>
            <w:r w:rsidRPr="00577ADC">
              <w:rPr>
                <w:rFonts w:ascii="Arial" w:hAnsi="Arial" w:cs="Arial"/>
                <w:sz w:val="22"/>
              </w:rPr>
              <w:t>u</w:t>
            </w:r>
            <w:r w:rsidRPr="00577ADC">
              <w:rPr>
                <w:rFonts w:ascii="Arial" w:hAnsi="Arial" w:cs="Arial"/>
                <w:sz w:val="22"/>
              </w:rPr>
              <w:t>tenzione straordinaria all’armamento ferroviario, su linee in esercizio della rete RFI e/o su binari di altre società' del gruppo FS da eseguirsi nel triennio 2015-2017. Tali lavori sono stati rapidamente posti in gara dall’ente appaltante a seguito dell’approvazione dell’Accordo di Pr</w:t>
            </w:r>
            <w:r w:rsidRPr="00577ADC">
              <w:rPr>
                <w:rFonts w:ascii="Arial" w:hAnsi="Arial" w:cs="Arial"/>
                <w:sz w:val="22"/>
              </w:rPr>
              <w:t>o</w:t>
            </w:r>
            <w:r w:rsidRPr="00577ADC">
              <w:rPr>
                <w:rFonts w:ascii="Arial" w:hAnsi="Arial" w:cs="Arial"/>
                <w:sz w:val="22"/>
              </w:rPr>
              <w:t>gramma con il Ministero delle Infrastrutture e Trasporti prevista dal Dl “Sblocca Italia” convertito a metà novembre 2014.</w:t>
            </w:r>
          </w:p>
        </w:tc>
      </w:tr>
    </w:tbl>
    <w:p w:rsidR="00577ADC" w:rsidRDefault="00577ADC" w:rsidP="001C4E2C"/>
    <w:p w:rsidR="00577ADC" w:rsidRDefault="001D4212" w:rsidP="001C4E2C">
      <w:r>
        <w:rPr>
          <w:noProof/>
        </w:rPr>
        <w:drawing>
          <wp:anchor distT="0" distB="0" distL="114300" distR="114300" simplePos="0" relativeHeight="253220864" behindDoc="0" locked="0" layoutInCell="1" allowOverlap="1" wp14:anchorId="2BB70762" wp14:editId="27A30382">
            <wp:simplePos x="0" y="0"/>
            <wp:positionH relativeFrom="column">
              <wp:posOffset>453390</wp:posOffset>
            </wp:positionH>
            <wp:positionV relativeFrom="line">
              <wp:posOffset>-3810</wp:posOffset>
            </wp:positionV>
            <wp:extent cx="4743450" cy="3738245"/>
            <wp:effectExtent l="0" t="0" r="0" b="0"/>
            <wp:wrapSquare wrapText="bothSides"/>
            <wp:docPr id="305" name="Immagin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43450" cy="3738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7ADC" w:rsidRDefault="00577ADC" w:rsidP="001C4E2C"/>
    <w:p w:rsidR="00235529" w:rsidRDefault="00235529" w:rsidP="001C4E2C"/>
    <w:p w:rsidR="008A68EF" w:rsidRDefault="008A68EF" w:rsidP="001C4E2C"/>
    <w:p w:rsidR="001D4212" w:rsidRDefault="001D4212" w:rsidP="001C4E2C"/>
    <w:p w:rsidR="001D4212" w:rsidRDefault="001D4212" w:rsidP="001C4E2C"/>
    <w:p w:rsidR="001D4212" w:rsidRDefault="001D4212" w:rsidP="001C4E2C"/>
    <w:p w:rsidR="001D4212" w:rsidRDefault="001D4212" w:rsidP="001C4E2C"/>
    <w:p w:rsidR="001D4212" w:rsidRDefault="001D4212" w:rsidP="001C4E2C"/>
    <w:p w:rsidR="001D4212" w:rsidRDefault="001D4212" w:rsidP="001C4E2C"/>
    <w:p w:rsidR="001D4212" w:rsidRDefault="001D4212" w:rsidP="001C4E2C"/>
    <w:p w:rsidR="001D4212" w:rsidRDefault="001D4212" w:rsidP="001C4E2C"/>
    <w:p w:rsidR="001D4212" w:rsidRDefault="001D4212" w:rsidP="001C4E2C"/>
    <w:p w:rsidR="001D4212" w:rsidRDefault="001D4212" w:rsidP="001C4E2C"/>
    <w:p w:rsidR="001D4212" w:rsidRDefault="001D4212" w:rsidP="001C4E2C"/>
    <w:p w:rsidR="001D4212" w:rsidRDefault="001D4212" w:rsidP="001C4E2C"/>
    <w:p w:rsidR="001D4212" w:rsidRDefault="001D4212" w:rsidP="001C4E2C"/>
    <w:p w:rsidR="001D4212" w:rsidRDefault="001D4212" w:rsidP="001C4E2C"/>
    <w:p w:rsidR="008A68EF" w:rsidRDefault="008A68EF" w:rsidP="005E4B16">
      <w:pPr>
        <w:jc w:val="center"/>
      </w:pPr>
    </w:p>
    <w:p w:rsidR="008A68EF" w:rsidRDefault="008A68EF" w:rsidP="001C4E2C"/>
    <w:p w:rsidR="001A7EBD" w:rsidRDefault="001A7EBD" w:rsidP="001C4E2C"/>
    <w:p w:rsidR="00A56454" w:rsidRDefault="00A56454" w:rsidP="00A56454">
      <w:pPr>
        <w:pStyle w:val="Titolo1"/>
      </w:pPr>
      <w:bookmarkStart w:id="12" w:name="_Toc421177341"/>
      <w:r>
        <w:t>L’occupazione</w:t>
      </w:r>
      <w:bookmarkEnd w:id="12"/>
    </w:p>
    <w:tbl>
      <w:tblPr>
        <w:tblW w:w="8725" w:type="dxa"/>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7165"/>
      </w:tblGrid>
      <w:tr w:rsidR="0003453C" w:rsidTr="0003453C">
        <w:trPr>
          <w:jc w:val="center"/>
        </w:trPr>
        <w:tc>
          <w:tcPr>
            <w:tcW w:w="1560" w:type="dxa"/>
            <w:tcBorders>
              <w:top w:val="nil"/>
              <w:left w:val="nil"/>
              <w:bottom w:val="nil"/>
              <w:right w:val="nil"/>
            </w:tcBorders>
          </w:tcPr>
          <w:p w:rsidR="0003453C" w:rsidRPr="00576A3B" w:rsidRDefault="00577ADC" w:rsidP="0003453C">
            <w:pPr>
              <w:suppressAutoHyphens/>
              <w:spacing w:after="120"/>
              <w:rPr>
                <w:rFonts w:ascii="Arial" w:hAnsi="Arial" w:cs="Arial"/>
                <w:b/>
                <w:color w:val="000080"/>
                <w:szCs w:val="22"/>
                <w:highlight w:val="yellow"/>
              </w:rPr>
            </w:pPr>
            <w:r w:rsidRPr="00576A3B">
              <w:rPr>
                <w:rFonts w:ascii="Arial" w:hAnsi="Arial" w:cs="Arial"/>
                <w:b/>
                <w:color w:val="000080"/>
                <w:szCs w:val="22"/>
              </w:rPr>
              <w:t xml:space="preserve">Nel 2014 torna negativa l’occupazione nelle costruzioni </w:t>
            </w:r>
          </w:p>
        </w:tc>
        <w:tc>
          <w:tcPr>
            <w:tcW w:w="7165" w:type="dxa"/>
            <w:tcBorders>
              <w:top w:val="nil"/>
              <w:left w:val="nil"/>
              <w:bottom w:val="nil"/>
              <w:right w:val="nil"/>
            </w:tcBorders>
          </w:tcPr>
          <w:p w:rsidR="003A7A32" w:rsidRPr="003A7A32" w:rsidRDefault="003A7A32" w:rsidP="003A7A32">
            <w:pPr>
              <w:spacing w:after="120"/>
              <w:jc w:val="both"/>
              <w:rPr>
                <w:rFonts w:ascii="Arial" w:hAnsi="Arial" w:cs="Arial"/>
                <w:sz w:val="22"/>
              </w:rPr>
            </w:pPr>
            <w:r w:rsidRPr="003A7A32">
              <w:rPr>
                <w:rFonts w:ascii="Arial" w:hAnsi="Arial" w:cs="Arial"/>
                <w:sz w:val="22"/>
              </w:rPr>
              <w:t>Nel 2014, in Emilia-Romagna, l’occupazione nel settore delle costr</w:t>
            </w:r>
            <w:r w:rsidRPr="003A7A32">
              <w:rPr>
                <w:rFonts w:ascii="Arial" w:hAnsi="Arial" w:cs="Arial"/>
                <w:sz w:val="22"/>
              </w:rPr>
              <w:t>u</w:t>
            </w:r>
            <w:r w:rsidRPr="003A7A32">
              <w:rPr>
                <w:rFonts w:ascii="Arial" w:hAnsi="Arial" w:cs="Arial"/>
                <w:sz w:val="22"/>
              </w:rPr>
              <w:t xml:space="preserve">zioni torna a diminuire dopo il risultato positivo del biennio 2012-2013, presumibilmente collegato agli interventi di ricostruzione successivi agli eventi sismici di maggio 2012. </w:t>
            </w:r>
          </w:p>
          <w:p w:rsidR="0003453C" w:rsidRPr="00AC035B" w:rsidRDefault="003A7A32" w:rsidP="003A7A32">
            <w:pPr>
              <w:spacing w:after="120"/>
              <w:jc w:val="both"/>
              <w:rPr>
                <w:rFonts w:ascii="Arial" w:hAnsi="Arial" w:cs="Arial"/>
                <w:b/>
                <w:sz w:val="22"/>
                <w:szCs w:val="24"/>
                <w:highlight w:val="yellow"/>
              </w:rPr>
            </w:pPr>
            <w:r w:rsidRPr="003A7A32">
              <w:rPr>
                <w:rFonts w:ascii="Arial" w:hAnsi="Arial" w:cs="Arial"/>
                <w:sz w:val="22"/>
              </w:rPr>
              <w:t>Nel 2014, gli occupati nelle costruzioni in Emilia-Romagna sono circa 119mila e rappresentano il 19,2% degli addetti dell’industria e il 6,2% dei lavoratori operanti nell’intero sistema economico regionale (gli stessi rapporti, per l’Italia, risultano pari, rispettivamente, al 24,8% e al 6,7%).</w:t>
            </w:r>
          </w:p>
        </w:tc>
      </w:tr>
    </w:tbl>
    <w:p w:rsidR="0003453C" w:rsidRPr="00503D39" w:rsidRDefault="00FF6573" w:rsidP="0003453C">
      <w:pPr>
        <w:jc w:val="both"/>
        <w:rPr>
          <w:rFonts w:ascii="Arial" w:hAnsi="Arial" w:cs="Arial"/>
        </w:rPr>
      </w:pPr>
      <w:r>
        <w:rPr>
          <w:rFonts w:ascii="Arial" w:hAnsi="Arial" w:cs="Arial"/>
          <w:noProof/>
        </w:rPr>
        <w:drawing>
          <wp:anchor distT="0" distB="0" distL="114300" distR="114300" simplePos="0" relativeHeight="253196288" behindDoc="0" locked="0" layoutInCell="1" allowOverlap="1" wp14:anchorId="33CA61F4" wp14:editId="761C8B4E">
            <wp:simplePos x="0" y="0"/>
            <wp:positionH relativeFrom="column">
              <wp:posOffset>1386840</wp:posOffset>
            </wp:positionH>
            <wp:positionV relativeFrom="paragraph">
              <wp:posOffset>85090</wp:posOffset>
            </wp:positionV>
            <wp:extent cx="3314700" cy="2362200"/>
            <wp:effectExtent l="0" t="0" r="0" b="0"/>
            <wp:wrapSquare wrapText="bothSides"/>
            <wp:docPr id="306" name="Immagin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470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453C" w:rsidRPr="00503D39" w:rsidRDefault="0003453C" w:rsidP="0003453C">
      <w:pPr>
        <w:rPr>
          <w:rFonts w:ascii="Arial" w:hAnsi="Arial" w:cs="Arial"/>
        </w:rPr>
      </w:pPr>
    </w:p>
    <w:p w:rsidR="0003453C" w:rsidRPr="00503D39" w:rsidRDefault="0003453C" w:rsidP="0003453C">
      <w:pPr>
        <w:rPr>
          <w:rFonts w:ascii="Arial" w:hAnsi="Arial" w:cs="Arial"/>
        </w:rPr>
      </w:pPr>
    </w:p>
    <w:p w:rsidR="0003453C" w:rsidRPr="00503D39" w:rsidRDefault="0003453C" w:rsidP="0003453C">
      <w:pPr>
        <w:tabs>
          <w:tab w:val="left" w:pos="1710"/>
        </w:tabs>
        <w:rPr>
          <w:rFonts w:ascii="Arial" w:hAnsi="Arial" w:cs="Arial"/>
        </w:rPr>
      </w:pPr>
      <w:r w:rsidRPr="00503D39">
        <w:rPr>
          <w:rFonts w:ascii="Arial" w:hAnsi="Arial" w:cs="Arial"/>
        </w:rPr>
        <w:tab/>
      </w:r>
    </w:p>
    <w:p w:rsidR="0003453C" w:rsidRPr="00503D39" w:rsidRDefault="0003453C" w:rsidP="0003453C">
      <w:pPr>
        <w:tabs>
          <w:tab w:val="left" w:pos="1710"/>
        </w:tabs>
        <w:rPr>
          <w:rFonts w:ascii="Arial" w:hAnsi="Arial" w:cs="Arial"/>
        </w:rPr>
      </w:pPr>
    </w:p>
    <w:p w:rsidR="0003453C" w:rsidRPr="00503D39" w:rsidRDefault="0003453C" w:rsidP="0003453C">
      <w:pPr>
        <w:tabs>
          <w:tab w:val="left" w:pos="1710"/>
        </w:tabs>
        <w:rPr>
          <w:rFonts w:ascii="Arial" w:hAnsi="Arial" w:cs="Arial"/>
        </w:rPr>
      </w:pPr>
    </w:p>
    <w:p w:rsidR="0003453C" w:rsidRPr="00503D39" w:rsidRDefault="0003453C" w:rsidP="0003453C">
      <w:pPr>
        <w:tabs>
          <w:tab w:val="left" w:pos="1710"/>
        </w:tabs>
        <w:rPr>
          <w:rFonts w:ascii="Arial" w:hAnsi="Arial" w:cs="Arial"/>
        </w:rPr>
      </w:pPr>
    </w:p>
    <w:p w:rsidR="0003453C" w:rsidRPr="00503D39" w:rsidRDefault="0003453C" w:rsidP="0003453C">
      <w:pPr>
        <w:tabs>
          <w:tab w:val="left" w:pos="1710"/>
        </w:tabs>
        <w:rPr>
          <w:rFonts w:ascii="Arial" w:hAnsi="Arial" w:cs="Arial"/>
        </w:rPr>
      </w:pPr>
    </w:p>
    <w:p w:rsidR="0003453C" w:rsidRPr="00503D39" w:rsidRDefault="0003453C" w:rsidP="0003453C">
      <w:pPr>
        <w:tabs>
          <w:tab w:val="left" w:pos="1710"/>
        </w:tabs>
        <w:jc w:val="both"/>
        <w:rPr>
          <w:rFonts w:ascii="Arial" w:hAnsi="Arial" w:cs="Arial"/>
        </w:rPr>
      </w:pPr>
    </w:p>
    <w:p w:rsidR="0003453C" w:rsidRPr="00503D39" w:rsidRDefault="0003453C" w:rsidP="0003453C">
      <w:pPr>
        <w:tabs>
          <w:tab w:val="left" w:pos="1710"/>
        </w:tabs>
        <w:jc w:val="both"/>
        <w:rPr>
          <w:rFonts w:ascii="Arial" w:hAnsi="Arial" w:cs="Arial"/>
        </w:rPr>
      </w:pPr>
    </w:p>
    <w:p w:rsidR="0003453C" w:rsidRPr="00503D39" w:rsidRDefault="0003453C" w:rsidP="0003453C">
      <w:pPr>
        <w:jc w:val="both"/>
        <w:rPr>
          <w:rFonts w:ascii="Arial" w:hAnsi="Arial" w:cs="Arial"/>
        </w:rPr>
      </w:pPr>
    </w:p>
    <w:p w:rsidR="0003453C" w:rsidRDefault="0003453C" w:rsidP="0003453C">
      <w:pPr>
        <w:jc w:val="both"/>
        <w:rPr>
          <w:rFonts w:ascii="Arial" w:hAnsi="Arial" w:cs="Arial"/>
        </w:rPr>
      </w:pPr>
    </w:p>
    <w:p w:rsidR="0003453C" w:rsidRDefault="0003453C" w:rsidP="0003453C">
      <w:pPr>
        <w:jc w:val="both"/>
        <w:rPr>
          <w:rFonts w:ascii="Arial" w:hAnsi="Arial" w:cs="Arial"/>
        </w:rPr>
      </w:pPr>
    </w:p>
    <w:p w:rsidR="0003453C" w:rsidRDefault="0003453C" w:rsidP="0003453C">
      <w:pPr>
        <w:jc w:val="both"/>
        <w:rPr>
          <w:rFonts w:ascii="Arial" w:hAnsi="Arial" w:cs="Arial"/>
        </w:rPr>
      </w:pPr>
    </w:p>
    <w:p w:rsidR="006A2E9D" w:rsidRDefault="006A2E9D" w:rsidP="0003453C">
      <w:pPr>
        <w:jc w:val="both"/>
        <w:rPr>
          <w:rFonts w:ascii="Arial" w:hAnsi="Arial" w:cs="Arial"/>
        </w:rPr>
      </w:pPr>
    </w:p>
    <w:tbl>
      <w:tblPr>
        <w:tblW w:w="8725" w:type="dxa"/>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7165"/>
      </w:tblGrid>
      <w:tr w:rsidR="0003453C" w:rsidTr="0003453C">
        <w:trPr>
          <w:jc w:val="center"/>
        </w:trPr>
        <w:tc>
          <w:tcPr>
            <w:tcW w:w="1560" w:type="dxa"/>
            <w:tcBorders>
              <w:top w:val="nil"/>
              <w:left w:val="nil"/>
              <w:bottom w:val="nil"/>
              <w:right w:val="nil"/>
            </w:tcBorders>
          </w:tcPr>
          <w:p w:rsidR="0003453C" w:rsidRDefault="0003453C" w:rsidP="0003453C">
            <w:pPr>
              <w:suppressAutoHyphens/>
              <w:spacing w:after="120"/>
              <w:rPr>
                <w:rFonts w:ascii="Arial" w:hAnsi="Arial" w:cs="Arial"/>
                <w:b/>
                <w:color w:val="000080"/>
                <w:sz w:val="22"/>
                <w:szCs w:val="22"/>
              </w:rPr>
            </w:pPr>
          </w:p>
        </w:tc>
        <w:tc>
          <w:tcPr>
            <w:tcW w:w="7165" w:type="dxa"/>
            <w:tcBorders>
              <w:top w:val="nil"/>
              <w:left w:val="nil"/>
              <w:bottom w:val="nil"/>
              <w:right w:val="nil"/>
            </w:tcBorders>
          </w:tcPr>
          <w:p w:rsidR="0003453C" w:rsidRPr="0003453C" w:rsidRDefault="007A23E9" w:rsidP="0003453C">
            <w:pPr>
              <w:jc w:val="both"/>
              <w:rPr>
                <w:rFonts w:ascii="Arial" w:hAnsi="Arial" w:cs="Arial"/>
                <w:sz w:val="22"/>
              </w:rPr>
            </w:pPr>
            <w:r>
              <w:rPr>
                <w:rFonts w:ascii="Arial" w:hAnsi="Arial" w:cs="Arial"/>
                <w:b/>
                <w:noProof/>
                <w:color w:val="000080"/>
                <w:sz w:val="22"/>
                <w:szCs w:val="22"/>
              </w:rPr>
              <w:drawing>
                <wp:anchor distT="0" distB="0" distL="114300" distR="114300" simplePos="0" relativeHeight="253199360" behindDoc="0" locked="0" layoutInCell="1" allowOverlap="1" wp14:anchorId="40191BFB" wp14:editId="1E5354B6">
                  <wp:simplePos x="0" y="0"/>
                  <wp:positionH relativeFrom="column">
                    <wp:posOffset>2280285</wp:posOffset>
                  </wp:positionH>
                  <wp:positionV relativeFrom="paragraph">
                    <wp:posOffset>-4377055</wp:posOffset>
                  </wp:positionV>
                  <wp:extent cx="2155825" cy="3971925"/>
                  <wp:effectExtent l="0" t="0" r="0" b="0"/>
                  <wp:wrapSquare wrapText="bothSides"/>
                  <wp:docPr id="313" name="Immagin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5825" cy="397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61959" w:rsidRPr="00761959">
              <w:rPr>
                <w:rFonts w:ascii="Arial" w:hAnsi="Arial" w:cs="Arial"/>
                <w:sz w:val="22"/>
              </w:rPr>
              <w:t>Nel confronto con il 2013 il settore delle costruzioni registra un calo di occupazione del 2,4% dovuto esclusivamente alla flessione dei lavoratori dipendenti (-7,4%) co</w:t>
            </w:r>
            <w:r w:rsidR="00761959" w:rsidRPr="00761959">
              <w:rPr>
                <w:rFonts w:ascii="Arial" w:hAnsi="Arial" w:cs="Arial"/>
                <w:sz w:val="22"/>
              </w:rPr>
              <w:t>n</w:t>
            </w:r>
            <w:r w:rsidR="00761959" w:rsidRPr="00761959">
              <w:rPr>
                <w:rFonts w:ascii="Arial" w:hAnsi="Arial" w:cs="Arial"/>
                <w:sz w:val="22"/>
              </w:rPr>
              <w:t>tro un aumento degli indipendenti del 2,6%. Per le posizioni alle d</w:t>
            </w:r>
            <w:r w:rsidR="00761959" w:rsidRPr="00761959">
              <w:rPr>
                <w:rFonts w:ascii="Arial" w:hAnsi="Arial" w:cs="Arial"/>
                <w:sz w:val="22"/>
              </w:rPr>
              <w:t>i</w:t>
            </w:r>
            <w:r w:rsidR="00761959" w:rsidRPr="00761959">
              <w:rPr>
                <w:rFonts w:ascii="Arial" w:hAnsi="Arial" w:cs="Arial"/>
                <w:sz w:val="22"/>
              </w:rPr>
              <w:t>pendenze si conferma pertanto il proseguimento del trend negativo, solo parzialmente interrotto nel 2012 (-6,6% su b</w:t>
            </w:r>
            <w:r w:rsidR="00761959" w:rsidRPr="00761959">
              <w:rPr>
                <w:rFonts w:ascii="Arial" w:hAnsi="Arial" w:cs="Arial"/>
                <w:sz w:val="22"/>
              </w:rPr>
              <w:t>a</w:t>
            </w:r>
            <w:r w:rsidR="00761959" w:rsidRPr="00761959">
              <w:rPr>
                <w:rFonts w:ascii="Arial" w:hAnsi="Arial" w:cs="Arial"/>
                <w:sz w:val="22"/>
              </w:rPr>
              <w:t>se annua). Nel 2014 il peso dei lavoratori dipe</w:t>
            </w:r>
            <w:r w:rsidR="00761959" w:rsidRPr="00761959">
              <w:rPr>
                <w:rFonts w:ascii="Arial" w:hAnsi="Arial" w:cs="Arial"/>
                <w:sz w:val="22"/>
              </w:rPr>
              <w:t>n</w:t>
            </w:r>
            <w:r w:rsidR="00761959" w:rsidRPr="00761959">
              <w:rPr>
                <w:rFonts w:ascii="Arial" w:hAnsi="Arial" w:cs="Arial"/>
                <w:sz w:val="22"/>
              </w:rPr>
              <w:t>denti sul totale occupati di settore scende al 47,3% rispetto al 52,8% del 2008</w:t>
            </w:r>
            <w:r w:rsidR="00761959">
              <w:rPr>
                <w:rFonts w:ascii="Arial" w:hAnsi="Arial" w:cs="Arial"/>
                <w:sz w:val="22"/>
              </w:rPr>
              <w:t>.</w:t>
            </w:r>
          </w:p>
        </w:tc>
      </w:tr>
    </w:tbl>
    <w:p w:rsidR="00090350" w:rsidRDefault="00090350" w:rsidP="0003453C">
      <w:pPr>
        <w:tabs>
          <w:tab w:val="left" w:pos="2208"/>
        </w:tabs>
        <w:ind w:left="648"/>
        <w:rPr>
          <w:rFonts w:ascii="Arial" w:hAnsi="Arial" w:cs="Arial"/>
          <w:b/>
          <w:color w:val="000080"/>
          <w:sz w:val="22"/>
          <w:szCs w:val="22"/>
        </w:rPr>
      </w:pPr>
      <w:r>
        <w:rPr>
          <w:rFonts w:ascii="Arial" w:hAnsi="Arial" w:cs="Arial"/>
          <w:b/>
          <w:color w:val="000080"/>
          <w:sz w:val="22"/>
          <w:szCs w:val="22"/>
        </w:rPr>
        <w:tab/>
      </w:r>
    </w:p>
    <w:tbl>
      <w:tblPr>
        <w:tblW w:w="8725" w:type="dxa"/>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7165"/>
      </w:tblGrid>
      <w:tr w:rsidR="0003453C" w:rsidTr="0003453C">
        <w:trPr>
          <w:jc w:val="center"/>
        </w:trPr>
        <w:tc>
          <w:tcPr>
            <w:tcW w:w="1560" w:type="dxa"/>
            <w:tcBorders>
              <w:top w:val="nil"/>
              <w:left w:val="nil"/>
              <w:bottom w:val="nil"/>
              <w:right w:val="nil"/>
            </w:tcBorders>
          </w:tcPr>
          <w:p w:rsidR="0003453C" w:rsidRDefault="0003453C" w:rsidP="0003453C">
            <w:pPr>
              <w:suppressAutoHyphens/>
              <w:spacing w:after="120"/>
              <w:rPr>
                <w:rFonts w:ascii="Arial" w:hAnsi="Arial" w:cs="Arial"/>
                <w:b/>
                <w:color w:val="000080"/>
                <w:sz w:val="22"/>
                <w:szCs w:val="22"/>
              </w:rPr>
            </w:pPr>
          </w:p>
        </w:tc>
        <w:tc>
          <w:tcPr>
            <w:tcW w:w="7165" w:type="dxa"/>
            <w:tcBorders>
              <w:top w:val="nil"/>
              <w:left w:val="nil"/>
              <w:bottom w:val="nil"/>
              <w:right w:val="nil"/>
            </w:tcBorders>
          </w:tcPr>
          <w:p w:rsidR="00090350" w:rsidRPr="00090350" w:rsidRDefault="00090350" w:rsidP="007A23E9">
            <w:pPr>
              <w:spacing w:after="120"/>
              <w:jc w:val="both"/>
              <w:rPr>
                <w:rFonts w:ascii="Arial" w:hAnsi="Arial" w:cs="Arial"/>
                <w:sz w:val="22"/>
              </w:rPr>
            </w:pPr>
            <w:r w:rsidRPr="00090350">
              <w:rPr>
                <w:rFonts w:ascii="Arial" w:hAnsi="Arial" w:cs="Arial"/>
                <w:sz w:val="22"/>
              </w:rPr>
              <w:t>Rispetto agli altri settori di attività economica, nel 2014, le costruzioni sono l’unico comparto a segno negativo, a fronte di un aumento di o</w:t>
            </w:r>
            <w:r w:rsidRPr="00090350">
              <w:rPr>
                <w:rFonts w:ascii="Arial" w:hAnsi="Arial" w:cs="Arial"/>
                <w:sz w:val="22"/>
              </w:rPr>
              <w:t>c</w:t>
            </w:r>
            <w:r w:rsidRPr="00090350">
              <w:rPr>
                <w:rFonts w:ascii="Arial" w:hAnsi="Arial" w:cs="Arial"/>
                <w:sz w:val="22"/>
              </w:rPr>
              <w:t xml:space="preserve">cupazione dello 0,4% su base annua nell’agricoltura, dell’1,4% nell’industria in senso stretto e dello 0,2% nei servizi (+0,4% per l’insieme dei settori di attività economica). </w:t>
            </w:r>
          </w:p>
          <w:p w:rsidR="0003453C" w:rsidRPr="0003453C" w:rsidRDefault="00090350" w:rsidP="007A23E9">
            <w:pPr>
              <w:tabs>
                <w:tab w:val="left" w:pos="975"/>
              </w:tabs>
              <w:spacing w:after="120"/>
              <w:jc w:val="both"/>
              <w:rPr>
                <w:rFonts w:ascii="Arial" w:hAnsi="Arial" w:cs="Arial"/>
                <w:sz w:val="22"/>
              </w:rPr>
            </w:pPr>
            <w:r w:rsidRPr="00090350">
              <w:rPr>
                <w:rFonts w:ascii="Arial" w:hAnsi="Arial" w:cs="Arial"/>
                <w:sz w:val="22"/>
              </w:rPr>
              <w:t>La flessione degli occupati nella regione nel 2014 (-2,4% su base a</w:t>
            </w:r>
            <w:r w:rsidRPr="00090350">
              <w:rPr>
                <w:rFonts w:ascii="Arial" w:hAnsi="Arial" w:cs="Arial"/>
                <w:sz w:val="22"/>
              </w:rPr>
              <w:t>n</w:t>
            </w:r>
            <w:r w:rsidRPr="00090350">
              <w:rPr>
                <w:rFonts w:ascii="Arial" w:hAnsi="Arial" w:cs="Arial"/>
                <w:sz w:val="22"/>
              </w:rPr>
              <w:t>nua) è la sintesi di dinamiche contrastanti nel tessuto provinciale. Il  numero di occupati nelle costruzioni cresce rispetto al 2013 nelle pr</w:t>
            </w:r>
            <w:r w:rsidRPr="00090350">
              <w:rPr>
                <w:rFonts w:ascii="Arial" w:hAnsi="Arial" w:cs="Arial"/>
                <w:sz w:val="22"/>
              </w:rPr>
              <w:t>o</w:t>
            </w:r>
            <w:r w:rsidRPr="00090350">
              <w:rPr>
                <w:rFonts w:ascii="Arial" w:hAnsi="Arial" w:cs="Arial"/>
                <w:sz w:val="22"/>
              </w:rPr>
              <w:t xml:space="preserve">vince di Piacenza (+17,9%), Parma (+6,3%), Reggio-Emilia (+3,2%) e Rimini (+10,1%), mentre si riduce a Modena (-9,2%), Bologna (-1,8%), Ferrara  (-6,6%), Ravenna (-27,7%), Forlì-Cesena (-6,1%). </w:t>
            </w:r>
          </w:p>
        </w:tc>
      </w:tr>
      <w:bookmarkEnd w:id="5"/>
      <w:bookmarkEnd w:id="6"/>
      <w:bookmarkEnd w:id="7"/>
      <w:bookmarkEnd w:id="8"/>
      <w:bookmarkEnd w:id="9"/>
      <w:bookmarkEnd w:id="10"/>
      <w:tr w:rsidR="00767877" w:rsidTr="00FB67E1">
        <w:trPr>
          <w:jc w:val="center"/>
        </w:trPr>
        <w:tc>
          <w:tcPr>
            <w:tcW w:w="1560" w:type="dxa"/>
            <w:tcBorders>
              <w:top w:val="nil"/>
              <w:left w:val="nil"/>
              <w:bottom w:val="nil"/>
              <w:right w:val="nil"/>
            </w:tcBorders>
          </w:tcPr>
          <w:p w:rsidR="00767877" w:rsidRPr="00576A3B" w:rsidRDefault="0058669B" w:rsidP="00037B21">
            <w:pPr>
              <w:suppressAutoHyphens/>
              <w:spacing w:after="120"/>
              <w:rPr>
                <w:rFonts w:ascii="Arial" w:hAnsi="Arial" w:cs="Arial"/>
                <w:b/>
                <w:color w:val="000080"/>
                <w:szCs w:val="22"/>
                <w:highlight w:val="yellow"/>
              </w:rPr>
            </w:pPr>
            <w:r w:rsidRPr="00576A3B">
              <w:rPr>
                <w:rFonts w:ascii="Arial" w:hAnsi="Arial" w:cs="Arial"/>
                <w:b/>
                <w:color w:val="000080"/>
                <w:szCs w:val="22"/>
              </w:rPr>
              <w:t xml:space="preserve">Tra il 2008 e il 2012 sono uscite dal mercato </w:t>
            </w:r>
            <w:r w:rsidR="00037B21" w:rsidRPr="00576A3B">
              <w:rPr>
                <w:rFonts w:ascii="Arial" w:hAnsi="Arial" w:cs="Arial"/>
                <w:b/>
                <w:color w:val="000080"/>
                <w:szCs w:val="22"/>
              </w:rPr>
              <w:t>8.347</w:t>
            </w:r>
            <w:r w:rsidRPr="00576A3B">
              <w:rPr>
                <w:rFonts w:ascii="Arial" w:hAnsi="Arial" w:cs="Arial"/>
                <w:b/>
                <w:color w:val="000080"/>
                <w:szCs w:val="22"/>
              </w:rPr>
              <w:t xml:space="preserve"> imprese di costruzioni</w:t>
            </w:r>
          </w:p>
        </w:tc>
        <w:tc>
          <w:tcPr>
            <w:tcW w:w="7165" w:type="dxa"/>
            <w:tcBorders>
              <w:top w:val="nil"/>
              <w:left w:val="nil"/>
              <w:bottom w:val="nil"/>
              <w:right w:val="nil"/>
            </w:tcBorders>
          </w:tcPr>
          <w:p w:rsidR="00767877" w:rsidRDefault="00037B21" w:rsidP="007A23E9">
            <w:pPr>
              <w:spacing w:after="120"/>
              <w:jc w:val="both"/>
              <w:rPr>
                <w:rFonts w:ascii="Arial" w:hAnsi="Arial" w:cs="Arial"/>
                <w:sz w:val="22"/>
              </w:rPr>
            </w:pPr>
            <w:r w:rsidRPr="00037B21">
              <w:rPr>
                <w:rFonts w:ascii="Arial" w:hAnsi="Arial" w:cs="Arial"/>
                <w:sz w:val="22"/>
              </w:rPr>
              <w:t>Il tessuto imprenditoriale del settore in Emilia-Romagna è stato anch’esso colpito dalla crisi: in quattro anni 8.347 imprese operanti nel settore delle costruzioni sono uscite dal mercato, per un calo in termini percentuali del 13,9%.</w:t>
            </w:r>
          </w:p>
          <w:p w:rsidR="00684AA2" w:rsidRPr="00767877" w:rsidRDefault="00684AA2" w:rsidP="007A23E9">
            <w:pPr>
              <w:spacing w:after="120"/>
              <w:jc w:val="both"/>
              <w:rPr>
                <w:rFonts w:ascii="Arial" w:hAnsi="Arial" w:cs="Arial"/>
                <w:sz w:val="22"/>
              </w:rPr>
            </w:pPr>
            <w:r>
              <w:rPr>
                <w:rFonts w:ascii="Arial" w:hAnsi="Arial" w:cs="Arial"/>
                <w:noProof/>
                <w:sz w:val="22"/>
              </w:rPr>
              <w:drawing>
                <wp:anchor distT="0" distB="0" distL="114300" distR="114300" simplePos="0" relativeHeight="253200384" behindDoc="0" locked="0" layoutInCell="1" allowOverlap="1" wp14:anchorId="2C0EC512" wp14:editId="4DAB016E">
                  <wp:simplePos x="0" y="0"/>
                  <wp:positionH relativeFrom="column">
                    <wp:posOffset>170180</wp:posOffset>
                  </wp:positionH>
                  <wp:positionV relativeFrom="paragraph">
                    <wp:posOffset>78105</wp:posOffset>
                  </wp:positionV>
                  <wp:extent cx="3958590" cy="2521585"/>
                  <wp:effectExtent l="0" t="0" r="0" b="0"/>
                  <wp:wrapSquare wrapText="bothSides"/>
                  <wp:docPr id="316" name="Immagin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58590" cy="25215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767877" w:rsidRDefault="00767877" w:rsidP="00767877">
      <w:pPr>
        <w:jc w:val="both"/>
        <w:rPr>
          <w:rFonts w:ascii="Arial" w:hAnsi="Arial" w:cs="Arial"/>
          <w:b/>
        </w:rPr>
      </w:pPr>
    </w:p>
    <w:p w:rsidR="00767877" w:rsidRDefault="00767877" w:rsidP="00767877">
      <w:pPr>
        <w:jc w:val="both"/>
        <w:rPr>
          <w:rFonts w:ascii="Arial" w:hAnsi="Arial" w:cs="Arial"/>
          <w:b/>
        </w:rPr>
      </w:pPr>
    </w:p>
    <w:p w:rsidR="005B2DFD" w:rsidRPr="00A93677" w:rsidRDefault="005B2DFD" w:rsidP="005B2DFD">
      <w:pPr>
        <w:pStyle w:val="Titolo1"/>
      </w:pPr>
      <w:bookmarkStart w:id="13" w:name="_Toc421177342"/>
      <w:r>
        <w:t>Il mercato immobiliare residenziale</w:t>
      </w:r>
      <w:bookmarkEnd w:id="13"/>
    </w:p>
    <w:tbl>
      <w:tblPr>
        <w:tblW w:w="8859" w:type="dxa"/>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2"/>
        <w:gridCol w:w="7087"/>
      </w:tblGrid>
      <w:tr w:rsidR="00EA15BA" w:rsidRPr="00C048ED" w:rsidTr="00280969">
        <w:trPr>
          <w:jc w:val="center"/>
        </w:trPr>
        <w:tc>
          <w:tcPr>
            <w:tcW w:w="1772" w:type="dxa"/>
            <w:tcBorders>
              <w:top w:val="nil"/>
              <w:left w:val="nil"/>
              <w:bottom w:val="nil"/>
              <w:right w:val="nil"/>
            </w:tcBorders>
            <w:shd w:val="clear" w:color="auto" w:fill="auto"/>
          </w:tcPr>
          <w:p w:rsidR="00EA15BA" w:rsidRPr="00A93677" w:rsidRDefault="00541427" w:rsidP="00FB67E1">
            <w:pPr>
              <w:suppressAutoHyphens/>
              <w:rPr>
                <w:rFonts w:ascii="Arial" w:hAnsi="Arial" w:cs="Arial"/>
                <w:b/>
                <w:color w:val="000080"/>
              </w:rPr>
            </w:pPr>
            <w:r w:rsidRPr="00541427">
              <w:rPr>
                <w:rFonts w:ascii="Arial" w:hAnsi="Arial" w:cs="Arial"/>
                <w:b/>
                <w:color w:val="000080"/>
              </w:rPr>
              <w:t>Mercato immobiliare residenziale: si interrompe il trend negativo nel 2014</w:t>
            </w:r>
          </w:p>
        </w:tc>
        <w:tc>
          <w:tcPr>
            <w:tcW w:w="7087" w:type="dxa"/>
            <w:tcBorders>
              <w:top w:val="nil"/>
              <w:left w:val="nil"/>
              <w:bottom w:val="nil"/>
              <w:right w:val="nil"/>
            </w:tcBorders>
            <w:shd w:val="clear" w:color="auto" w:fill="auto"/>
          </w:tcPr>
          <w:p w:rsidR="00C63543" w:rsidRPr="00C63543" w:rsidRDefault="00541427" w:rsidP="00C63543">
            <w:pPr>
              <w:spacing w:after="120"/>
              <w:jc w:val="both"/>
              <w:rPr>
                <w:rFonts w:ascii="Arial" w:hAnsi="Arial" w:cs="Arial"/>
                <w:sz w:val="22"/>
                <w:szCs w:val="22"/>
              </w:rPr>
            </w:pPr>
            <w:r w:rsidRPr="00541427">
              <w:rPr>
                <w:rFonts w:ascii="Arial" w:hAnsi="Arial" w:cs="Arial"/>
                <w:sz w:val="22"/>
                <w:szCs w:val="22"/>
              </w:rPr>
              <w:t>In questo contesto si manifestano, invece, segnali positivi nel mercato immobiliare</w:t>
            </w:r>
            <w:r w:rsidR="00606B69">
              <w:rPr>
                <w:rFonts w:ascii="Arial" w:hAnsi="Arial" w:cs="Arial"/>
                <w:sz w:val="22"/>
                <w:szCs w:val="22"/>
              </w:rPr>
              <w:t xml:space="preserve"> in Emilia-Romagna</w:t>
            </w:r>
            <w:r w:rsidRPr="00541427">
              <w:rPr>
                <w:rFonts w:ascii="Arial" w:hAnsi="Arial" w:cs="Arial"/>
                <w:sz w:val="22"/>
                <w:szCs w:val="22"/>
              </w:rPr>
              <w:t xml:space="preserve">. Parallelamente a quanto osservato a livello nazionale, </w:t>
            </w:r>
            <w:r w:rsidR="00C63543">
              <w:rPr>
                <w:rFonts w:ascii="Arial" w:hAnsi="Arial" w:cs="Arial"/>
                <w:sz w:val="22"/>
                <w:szCs w:val="22"/>
              </w:rPr>
              <w:t>d</w:t>
            </w:r>
            <w:r w:rsidR="00C63543" w:rsidRPr="00C63543">
              <w:rPr>
                <w:rFonts w:ascii="Arial" w:hAnsi="Arial" w:cs="Arial"/>
                <w:sz w:val="22"/>
                <w:szCs w:val="22"/>
              </w:rPr>
              <w:t>opo sette anni consecutivi di calo delle abitazioni compravendute (-5</w:t>
            </w:r>
            <w:r w:rsidR="00C63543">
              <w:rPr>
                <w:rFonts w:ascii="Arial" w:hAnsi="Arial" w:cs="Arial"/>
                <w:sz w:val="22"/>
                <w:szCs w:val="22"/>
              </w:rPr>
              <w:t>8</w:t>
            </w:r>
            <w:r w:rsidR="00C63543" w:rsidRPr="00C63543">
              <w:rPr>
                <w:rFonts w:ascii="Arial" w:hAnsi="Arial" w:cs="Arial"/>
                <w:sz w:val="22"/>
                <w:szCs w:val="22"/>
              </w:rPr>
              <w:t>,</w:t>
            </w:r>
            <w:r w:rsidR="00C63543">
              <w:rPr>
                <w:rFonts w:ascii="Arial" w:hAnsi="Arial" w:cs="Arial"/>
                <w:sz w:val="22"/>
                <w:szCs w:val="22"/>
              </w:rPr>
              <w:t>9</w:t>
            </w:r>
            <w:r w:rsidR="00C63543" w:rsidRPr="00C63543">
              <w:rPr>
                <w:rFonts w:ascii="Arial" w:hAnsi="Arial" w:cs="Arial"/>
                <w:sz w:val="22"/>
                <w:szCs w:val="22"/>
              </w:rPr>
              <w:t>% tra il 2007 ed il 2013), nel corso del 2014 il mercato immobiliare abitativo ha visto un’interruzione del trend neg</w:t>
            </w:r>
            <w:r w:rsidR="00C63543" w:rsidRPr="00C63543">
              <w:rPr>
                <w:rFonts w:ascii="Arial" w:hAnsi="Arial" w:cs="Arial"/>
                <w:sz w:val="22"/>
                <w:szCs w:val="22"/>
              </w:rPr>
              <w:t>a</w:t>
            </w:r>
            <w:r w:rsidR="00C63543" w:rsidRPr="00C63543">
              <w:rPr>
                <w:rFonts w:ascii="Arial" w:hAnsi="Arial" w:cs="Arial"/>
                <w:sz w:val="22"/>
                <w:szCs w:val="22"/>
              </w:rPr>
              <w:t xml:space="preserve">tivo. Secondo i dati dell’Agenzia delle Entrate </w:t>
            </w:r>
            <w:r w:rsidR="00366DB1">
              <w:rPr>
                <w:rFonts w:ascii="Arial" w:hAnsi="Arial" w:cs="Arial"/>
                <w:sz w:val="22"/>
                <w:szCs w:val="22"/>
              </w:rPr>
              <w:t xml:space="preserve">in </w:t>
            </w:r>
            <w:r w:rsidR="00366DB1" w:rsidRPr="00366DB1">
              <w:rPr>
                <w:rFonts w:ascii="Arial" w:hAnsi="Arial" w:cs="Arial"/>
                <w:b/>
                <w:sz w:val="22"/>
                <w:szCs w:val="22"/>
              </w:rPr>
              <w:t>Emilia-Romagna</w:t>
            </w:r>
            <w:r w:rsidR="00366DB1">
              <w:rPr>
                <w:rFonts w:ascii="Arial" w:hAnsi="Arial" w:cs="Arial"/>
                <w:sz w:val="22"/>
                <w:szCs w:val="22"/>
              </w:rPr>
              <w:t xml:space="preserve"> </w:t>
            </w:r>
            <w:r w:rsidR="00C63543" w:rsidRPr="00C63543">
              <w:rPr>
                <w:rFonts w:ascii="Arial" w:hAnsi="Arial" w:cs="Arial"/>
                <w:sz w:val="22"/>
                <w:szCs w:val="22"/>
              </w:rPr>
              <w:t xml:space="preserve">nel </w:t>
            </w:r>
            <w:r w:rsidR="00C63543" w:rsidRPr="00366DB1">
              <w:rPr>
                <w:rFonts w:ascii="Arial" w:hAnsi="Arial" w:cs="Arial"/>
                <w:b/>
                <w:sz w:val="22"/>
                <w:szCs w:val="22"/>
              </w:rPr>
              <w:t>2014 sono state compravendute 34.742 abitazioni, con un incr</w:t>
            </w:r>
            <w:r w:rsidR="00C63543" w:rsidRPr="00366DB1">
              <w:rPr>
                <w:rFonts w:ascii="Arial" w:hAnsi="Arial" w:cs="Arial"/>
                <w:b/>
                <w:sz w:val="22"/>
                <w:szCs w:val="22"/>
              </w:rPr>
              <w:t>e</w:t>
            </w:r>
            <w:r w:rsidR="00C63543" w:rsidRPr="00366DB1">
              <w:rPr>
                <w:rFonts w:ascii="Arial" w:hAnsi="Arial" w:cs="Arial"/>
                <w:b/>
                <w:sz w:val="22"/>
                <w:szCs w:val="22"/>
              </w:rPr>
              <w:t>mento del 6,2% rispetto al 2013,</w:t>
            </w:r>
            <w:r w:rsidR="00C63543">
              <w:rPr>
                <w:rFonts w:ascii="Arial" w:hAnsi="Arial" w:cs="Arial"/>
                <w:sz w:val="22"/>
                <w:szCs w:val="22"/>
              </w:rPr>
              <w:t xml:space="preserve"> crescita superiore a quella rilevata a libello medio nazionale (+3,6% su base annua)</w:t>
            </w:r>
            <w:r w:rsidR="00C63543" w:rsidRPr="00C63543">
              <w:rPr>
                <w:rFonts w:ascii="Arial" w:hAnsi="Arial" w:cs="Arial"/>
                <w:sz w:val="22"/>
                <w:szCs w:val="22"/>
              </w:rPr>
              <w:t xml:space="preserve">. </w:t>
            </w:r>
          </w:p>
          <w:p w:rsidR="00C63543" w:rsidRDefault="00C63543" w:rsidP="00C63543">
            <w:pPr>
              <w:spacing w:after="120"/>
              <w:jc w:val="both"/>
              <w:rPr>
                <w:rFonts w:ascii="Arial" w:hAnsi="Arial" w:cs="Arial"/>
                <w:sz w:val="22"/>
                <w:szCs w:val="22"/>
              </w:rPr>
            </w:pPr>
            <w:r w:rsidRPr="00C63543">
              <w:rPr>
                <w:rFonts w:ascii="Arial" w:hAnsi="Arial" w:cs="Arial"/>
                <w:sz w:val="22"/>
                <w:szCs w:val="22"/>
              </w:rPr>
              <w:t>In particolare, nel quarto trimestre del 2014, le compravendite res</w:t>
            </w:r>
            <w:r w:rsidRPr="00C63543">
              <w:rPr>
                <w:rFonts w:ascii="Arial" w:hAnsi="Arial" w:cs="Arial"/>
                <w:sz w:val="22"/>
                <w:szCs w:val="22"/>
              </w:rPr>
              <w:t>i</w:t>
            </w:r>
            <w:r w:rsidRPr="00C63543">
              <w:rPr>
                <w:rFonts w:ascii="Arial" w:hAnsi="Arial" w:cs="Arial"/>
                <w:sz w:val="22"/>
                <w:szCs w:val="22"/>
              </w:rPr>
              <w:t>denziali registrano un ulteriore e significativo aumento del</w:t>
            </w:r>
            <w:r>
              <w:rPr>
                <w:rFonts w:ascii="Arial" w:hAnsi="Arial" w:cs="Arial"/>
                <w:sz w:val="22"/>
                <w:szCs w:val="22"/>
              </w:rPr>
              <w:t>l’8</w:t>
            </w:r>
            <w:r w:rsidRPr="00C63543">
              <w:rPr>
                <w:rFonts w:ascii="Arial" w:hAnsi="Arial" w:cs="Arial"/>
                <w:sz w:val="22"/>
                <w:szCs w:val="22"/>
              </w:rPr>
              <w:t>,</w:t>
            </w:r>
            <w:r>
              <w:rPr>
                <w:rFonts w:ascii="Arial" w:hAnsi="Arial" w:cs="Arial"/>
                <w:sz w:val="22"/>
                <w:szCs w:val="22"/>
              </w:rPr>
              <w:t>5</w:t>
            </w:r>
            <w:r w:rsidRPr="00C63543">
              <w:rPr>
                <w:rFonts w:ascii="Arial" w:hAnsi="Arial" w:cs="Arial"/>
                <w:sz w:val="22"/>
                <w:szCs w:val="22"/>
              </w:rPr>
              <w:t>% r</w:t>
            </w:r>
            <w:r w:rsidRPr="00C63543">
              <w:rPr>
                <w:rFonts w:ascii="Arial" w:hAnsi="Arial" w:cs="Arial"/>
                <w:sz w:val="22"/>
                <w:szCs w:val="22"/>
              </w:rPr>
              <w:t>i</w:t>
            </w:r>
            <w:r w:rsidRPr="00C63543">
              <w:rPr>
                <w:rFonts w:ascii="Arial" w:hAnsi="Arial" w:cs="Arial"/>
                <w:sz w:val="22"/>
                <w:szCs w:val="22"/>
              </w:rPr>
              <w:t>spetto allo stesso periodo dell’anno precedente, a conferma di una d</w:t>
            </w:r>
            <w:r w:rsidRPr="00C63543">
              <w:rPr>
                <w:rFonts w:ascii="Arial" w:hAnsi="Arial" w:cs="Arial"/>
                <w:sz w:val="22"/>
                <w:szCs w:val="22"/>
              </w:rPr>
              <w:t>i</w:t>
            </w:r>
            <w:r w:rsidRPr="00C63543">
              <w:rPr>
                <w:rFonts w:ascii="Arial" w:hAnsi="Arial" w:cs="Arial"/>
                <w:sz w:val="22"/>
                <w:szCs w:val="22"/>
              </w:rPr>
              <w:t>namica positiva in atto dall’inizio del 2014</w:t>
            </w:r>
            <w:r>
              <w:rPr>
                <w:rFonts w:ascii="Arial" w:hAnsi="Arial" w:cs="Arial"/>
                <w:sz w:val="22"/>
                <w:szCs w:val="22"/>
              </w:rPr>
              <w:t>.</w:t>
            </w:r>
          </w:p>
          <w:p w:rsidR="00366DB1" w:rsidRPr="00541427" w:rsidRDefault="00541427" w:rsidP="00366DB1">
            <w:pPr>
              <w:spacing w:after="120"/>
              <w:jc w:val="both"/>
              <w:rPr>
                <w:rFonts w:ascii="Arial" w:hAnsi="Arial" w:cs="Arial"/>
                <w:sz w:val="22"/>
                <w:szCs w:val="22"/>
              </w:rPr>
            </w:pPr>
            <w:r w:rsidRPr="00541427">
              <w:rPr>
                <w:rFonts w:ascii="Arial" w:hAnsi="Arial" w:cs="Arial"/>
                <w:sz w:val="22"/>
                <w:szCs w:val="22"/>
              </w:rPr>
              <w:t xml:space="preserve">La crescita rilevata nel 2014 nella regione </w:t>
            </w:r>
            <w:r w:rsidR="00176E41">
              <w:rPr>
                <w:rFonts w:ascii="Arial" w:hAnsi="Arial" w:cs="Arial"/>
                <w:sz w:val="22"/>
                <w:szCs w:val="22"/>
              </w:rPr>
              <w:t>Emilia-Romagna</w:t>
            </w:r>
            <w:r w:rsidRPr="00541427">
              <w:rPr>
                <w:rFonts w:ascii="Arial" w:hAnsi="Arial" w:cs="Arial"/>
                <w:sz w:val="22"/>
                <w:szCs w:val="22"/>
              </w:rPr>
              <w:t xml:space="preserve"> </w:t>
            </w:r>
            <w:r w:rsidR="00366DB1">
              <w:rPr>
                <w:rFonts w:ascii="Arial" w:hAnsi="Arial" w:cs="Arial"/>
                <w:sz w:val="22"/>
                <w:szCs w:val="22"/>
              </w:rPr>
              <w:t xml:space="preserve">è da ascrivere soprattutto alla performance particolarmente positiva che ha riguardato i </w:t>
            </w:r>
            <w:r w:rsidR="00366DB1" w:rsidRPr="00366DB1">
              <w:rPr>
                <w:rFonts w:ascii="Arial" w:hAnsi="Arial" w:cs="Arial"/>
                <w:b/>
                <w:sz w:val="22"/>
                <w:szCs w:val="22"/>
              </w:rPr>
              <w:t>c</w:t>
            </w:r>
            <w:r w:rsidRPr="00366DB1">
              <w:rPr>
                <w:rFonts w:ascii="Arial" w:hAnsi="Arial" w:cs="Arial"/>
                <w:b/>
                <w:sz w:val="22"/>
                <w:szCs w:val="22"/>
              </w:rPr>
              <w:t>omuni capoluogo</w:t>
            </w:r>
            <w:r w:rsidRPr="00541427">
              <w:rPr>
                <w:rFonts w:ascii="Arial" w:hAnsi="Arial" w:cs="Arial"/>
                <w:sz w:val="22"/>
                <w:szCs w:val="22"/>
              </w:rPr>
              <w:t xml:space="preserve"> </w:t>
            </w:r>
            <w:r w:rsidR="00366DB1">
              <w:rPr>
                <w:rFonts w:ascii="Arial" w:hAnsi="Arial" w:cs="Arial"/>
                <w:sz w:val="22"/>
                <w:szCs w:val="22"/>
              </w:rPr>
              <w:t xml:space="preserve">con un aumento </w:t>
            </w:r>
            <w:r w:rsidRPr="00541427">
              <w:rPr>
                <w:rFonts w:ascii="Arial" w:hAnsi="Arial" w:cs="Arial"/>
                <w:sz w:val="22"/>
                <w:szCs w:val="22"/>
              </w:rPr>
              <w:t>del numero di abit</w:t>
            </w:r>
            <w:r w:rsidRPr="00541427">
              <w:rPr>
                <w:rFonts w:ascii="Arial" w:hAnsi="Arial" w:cs="Arial"/>
                <w:sz w:val="22"/>
                <w:szCs w:val="22"/>
              </w:rPr>
              <w:t>a</w:t>
            </w:r>
            <w:r w:rsidRPr="00541427">
              <w:rPr>
                <w:rFonts w:ascii="Arial" w:hAnsi="Arial" w:cs="Arial"/>
                <w:sz w:val="22"/>
                <w:szCs w:val="22"/>
              </w:rPr>
              <w:t>zioni compravendute del</w:t>
            </w:r>
            <w:r w:rsidR="00176E41">
              <w:rPr>
                <w:rFonts w:ascii="Arial" w:hAnsi="Arial" w:cs="Arial"/>
                <w:sz w:val="22"/>
                <w:szCs w:val="22"/>
              </w:rPr>
              <w:t>l’11</w:t>
            </w:r>
            <w:r w:rsidRPr="00541427">
              <w:rPr>
                <w:rFonts w:ascii="Arial" w:hAnsi="Arial" w:cs="Arial"/>
                <w:sz w:val="22"/>
                <w:szCs w:val="22"/>
              </w:rPr>
              <w:t>,</w:t>
            </w:r>
            <w:r w:rsidR="00176E41">
              <w:rPr>
                <w:rFonts w:ascii="Arial" w:hAnsi="Arial" w:cs="Arial"/>
                <w:sz w:val="22"/>
                <w:szCs w:val="22"/>
              </w:rPr>
              <w:t>1</w:t>
            </w:r>
            <w:r w:rsidRPr="00541427">
              <w:rPr>
                <w:rFonts w:ascii="Arial" w:hAnsi="Arial" w:cs="Arial"/>
                <w:sz w:val="22"/>
                <w:szCs w:val="22"/>
              </w:rPr>
              <w:t xml:space="preserve">% su base annua. Anche nei </w:t>
            </w:r>
            <w:r w:rsidRPr="00366DB1">
              <w:rPr>
                <w:rFonts w:ascii="Arial" w:hAnsi="Arial" w:cs="Arial"/>
                <w:b/>
                <w:sz w:val="22"/>
                <w:szCs w:val="22"/>
              </w:rPr>
              <w:t>comuni non capoluogo</w:t>
            </w:r>
            <w:r w:rsidRPr="00541427">
              <w:rPr>
                <w:rFonts w:ascii="Arial" w:hAnsi="Arial" w:cs="Arial"/>
                <w:sz w:val="22"/>
                <w:szCs w:val="22"/>
              </w:rPr>
              <w:t xml:space="preserve"> (dove si concentra circa il </w:t>
            </w:r>
            <w:r w:rsidR="00176E41">
              <w:rPr>
                <w:rFonts w:ascii="Arial" w:hAnsi="Arial" w:cs="Arial"/>
                <w:sz w:val="22"/>
                <w:szCs w:val="22"/>
              </w:rPr>
              <w:t>60</w:t>
            </w:r>
            <w:r w:rsidRPr="00541427">
              <w:rPr>
                <w:rFonts w:ascii="Arial" w:hAnsi="Arial" w:cs="Arial"/>
                <w:sz w:val="22"/>
                <w:szCs w:val="22"/>
              </w:rPr>
              <w:t>% degli scambi)</w:t>
            </w:r>
            <w:r w:rsidR="00366DB1">
              <w:rPr>
                <w:rFonts w:ascii="Arial" w:hAnsi="Arial" w:cs="Arial"/>
                <w:sz w:val="22"/>
                <w:szCs w:val="22"/>
              </w:rPr>
              <w:t xml:space="preserve"> </w:t>
            </w:r>
            <w:r w:rsidR="00366DB1" w:rsidRPr="00366DB1">
              <w:rPr>
                <w:rFonts w:ascii="Arial" w:hAnsi="Arial" w:cs="Arial"/>
                <w:sz w:val="22"/>
                <w:szCs w:val="22"/>
              </w:rPr>
              <w:t>si reg</w:t>
            </w:r>
            <w:r w:rsidR="00366DB1" w:rsidRPr="00366DB1">
              <w:rPr>
                <w:rFonts w:ascii="Arial" w:hAnsi="Arial" w:cs="Arial"/>
                <w:sz w:val="22"/>
                <w:szCs w:val="22"/>
              </w:rPr>
              <w:t>i</w:t>
            </w:r>
            <w:r w:rsidR="00366DB1" w:rsidRPr="00366DB1">
              <w:rPr>
                <w:rFonts w:ascii="Arial" w:hAnsi="Arial" w:cs="Arial"/>
                <w:sz w:val="22"/>
                <w:szCs w:val="22"/>
              </w:rPr>
              <w:t xml:space="preserve">stra una crescita, sebbene più lieve, pari al </w:t>
            </w:r>
            <w:r w:rsidR="00366DB1">
              <w:rPr>
                <w:rFonts w:ascii="Arial" w:hAnsi="Arial" w:cs="Arial"/>
                <w:sz w:val="22"/>
                <w:szCs w:val="22"/>
              </w:rPr>
              <w:t>3</w:t>
            </w:r>
            <w:r w:rsidR="00366DB1" w:rsidRPr="00366DB1">
              <w:rPr>
                <w:rFonts w:ascii="Arial" w:hAnsi="Arial" w:cs="Arial"/>
                <w:sz w:val="22"/>
                <w:szCs w:val="22"/>
              </w:rPr>
              <w:t>% rispetto al 2013.</w:t>
            </w:r>
          </w:p>
        </w:tc>
      </w:tr>
    </w:tbl>
    <w:p w:rsidR="00A508A8" w:rsidRDefault="005E4B16" w:rsidP="0049465B">
      <w:pPr>
        <w:tabs>
          <w:tab w:val="left" w:pos="1828"/>
        </w:tabs>
        <w:spacing w:after="120"/>
        <w:ind w:left="56"/>
        <w:jc w:val="center"/>
        <w:rPr>
          <w:rFonts w:ascii="Arial" w:hAnsi="Arial" w:cs="Arial"/>
          <w:b/>
          <w:color w:val="000080"/>
          <w:szCs w:val="18"/>
        </w:rPr>
      </w:pPr>
      <w:r w:rsidRPr="00C63543">
        <w:rPr>
          <w:noProof/>
        </w:rPr>
        <w:drawing>
          <wp:anchor distT="0" distB="0" distL="114300" distR="114300" simplePos="0" relativeHeight="253185024" behindDoc="0" locked="0" layoutInCell="1" allowOverlap="1" wp14:anchorId="3DBBB543" wp14:editId="65259C2F">
            <wp:simplePos x="0" y="0"/>
            <wp:positionH relativeFrom="column">
              <wp:posOffset>-605790</wp:posOffset>
            </wp:positionH>
            <wp:positionV relativeFrom="line">
              <wp:posOffset>139065</wp:posOffset>
            </wp:positionV>
            <wp:extent cx="2924175" cy="2333625"/>
            <wp:effectExtent l="0" t="0" r="9525" b="9525"/>
            <wp:wrapSquare wrapText="bothSides"/>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4175"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3543">
        <w:rPr>
          <w:noProof/>
        </w:rPr>
        <w:drawing>
          <wp:anchor distT="0" distB="0" distL="114300" distR="114300" simplePos="0" relativeHeight="253186048" behindDoc="0" locked="0" layoutInCell="1" allowOverlap="1" wp14:anchorId="6EE5B6E6" wp14:editId="7DA6911C">
            <wp:simplePos x="0" y="0"/>
            <wp:positionH relativeFrom="column">
              <wp:posOffset>2457450</wp:posOffset>
            </wp:positionH>
            <wp:positionV relativeFrom="line">
              <wp:posOffset>62865</wp:posOffset>
            </wp:positionV>
            <wp:extent cx="3621405" cy="2247900"/>
            <wp:effectExtent l="0" t="0" r="0" b="0"/>
            <wp:wrapSquare wrapText="bothSides"/>
            <wp:docPr id="694" name="Immagin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21405"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33D1" w:rsidRDefault="005E4B16" w:rsidP="004E25A3">
      <w:pPr>
        <w:tabs>
          <w:tab w:val="left" w:pos="1828"/>
        </w:tabs>
        <w:spacing w:after="120"/>
        <w:ind w:left="56"/>
        <w:rPr>
          <w:noProof/>
        </w:rPr>
      </w:pPr>
      <w:r w:rsidRPr="00C63543">
        <w:rPr>
          <w:noProof/>
        </w:rPr>
        <w:drawing>
          <wp:anchor distT="0" distB="0" distL="114300" distR="114300" simplePos="0" relativeHeight="253187072" behindDoc="1" locked="0" layoutInCell="1" allowOverlap="1" wp14:anchorId="7A19CD3D" wp14:editId="4AE396EB">
            <wp:simplePos x="0" y="0"/>
            <wp:positionH relativeFrom="column">
              <wp:posOffset>-308610</wp:posOffset>
            </wp:positionH>
            <wp:positionV relativeFrom="line">
              <wp:posOffset>175895</wp:posOffset>
            </wp:positionV>
            <wp:extent cx="6236970" cy="2020570"/>
            <wp:effectExtent l="0" t="0" r="0" b="0"/>
            <wp:wrapTight wrapText="bothSides">
              <wp:wrapPolygon edited="0">
                <wp:start x="3958" y="407"/>
                <wp:lineTo x="0" y="2036"/>
                <wp:lineTo x="0" y="4073"/>
                <wp:lineTo x="13855" y="4073"/>
                <wp:lineTo x="0" y="4887"/>
                <wp:lineTo x="0" y="21179"/>
                <wp:lineTo x="3761" y="21383"/>
                <wp:lineTo x="4156" y="21383"/>
                <wp:lineTo x="21508" y="20161"/>
                <wp:lineTo x="21508" y="2036"/>
                <wp:lineTo x="21310" y="2036"/>
                <wp:lineTo x="17417" y="407"/>
                <wp:lineTo x="3958" y="407"/>
              </wp:wrapPolygon>
            </wp:wrapTight>
            <wp:docPr id="697" name="Immagin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36970" cy="2020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7E7" w:rsidRDefault="00A467E7"/>
    <w:p w:rsidR="005E467B" w:rsidRDefault="005E467B"/>
    <w:tbl>
      <w:tblPr>
        <w:tblW w:w="8717" w:type="dxa"/>
        <w:jc w:val="center"/>
        <w:tblInd w:w="198" w:type="dxa"/>
        <w:tblLayout w:type="fixed"/>
        <w:tblLook w:val="01E0" w:firstRow="1" w:lastRow="1" w:firstColumn="1" w:lastColumn="1" w:noHBand="0" w:noVBand="0"/>
      </w:tblPr>
      <w:tblGrid>
        <w:gridCol w:w="1630"/>
        <w:gridCol w:w="7087"/>
      </w:tblGrid>
      <w:tr w:rsidR="00700F7A" w:rsidRPr="00C048ED" w:rsidTr="00A16BCD">
        <w:trPr>
          <w:jc w:val="center"/>
        </w:trPr>
        <w:tc>
          <w:tcPr>
            <w:tcW w:w="1630" w:type="dxa"/>
            <w:shd w:val="clear" w:color="auto" w:fill="auto"/>
          </w:tcPr>
          <w:p w:rsidR="00700F7A" w:rsidRPr="00A93677" w:rsidRDefault="00700F7A" w:rsidP="00A16BCD">
            <w:pPr>
              <w:suppressAutoHyphens/>
              <w:rPr>
                <w:rFonts w:ascii="Arial" w:hAnsi="Arial" w:cs="Arial"/>
                <w:b/>
                <w:color w:val="000080"/>
              </w:rPr>
            </w:pPr>
          </w:p>
        </w:tc>
        <w:tc>
          <w:tcPr>
            <w:tcW w:w="7087" w:type="dxa"/>
            <w:shd w:val="clear" w:color="auto" w:fill="auto"/>
          </w:tcPr>
          <w:p w:rsidR="00700F7A" w:rsidRPr="00742038" w:rsidRDefault="00700F7A" w:rsidP="00700F7A">
            <w:pPr>
              <w:spacing w:after="120"/>
              <w:jc w:val="both"/>
              <w:rPr>
                <w:rFonts w:ascii="Arial" w:hAnsi="Arial" w:cs="Arial"/>
                <w:sz w:val="22"/>
                <w:szCs w:val="22"/>
              </w:rPr>
            </w:pPr>
            <w:r>
              <w:rPr>
                <w:rFonts w:ascii="Arial" w:hAnsi="Arial" w:cs="Arial"/>
                <w:sz w:val="22"/>
                <w:szCs w:val="22"/>
              </w:rPr>
              <w:t>Nel dettaglio provinciale si segnala una dinamica positiva nel numero di abitazioni compravendute in tutte le province con aumenti tende</w:t>
            </w:r>
            <w:r>
              <w:rPr>
                <w:rFonts w:ascii="Arial" w:hAnsi="Arial" w:cs="Arial"/>
                <w:sz w:val="22"/>
                <w:szCs w:val="22"/>
              </w:rPr>
              <w:t>n</w:t>
            </w:r>
            <w:r>
              <w:rPr>
                <w:rFonts w:ascii="Arial" w:hAnsi="Arial" w:cs="Arial"/>
                <w:sz w:val="22"/>
                <w:szCs w:val="22"/>
              </w:rPr>
              <w:t>ziali, nel 2014, compresi tra il +1,1% di Forlì e Piacenza e il +16,1% di Modena. Fanno eccezione le province di Ferrara e Rimini entrambe con -1,8% e Ravenna che registra un calo dello 0,6%.</w:t>
            </w:r>
          </w:p>
        </w:tc>
      </w:tr>
    </w:tbl>
    <w:p w:rsidR="00700F7A" w:rsidRDefault="00700F7A"/>
    <w:p w:rsidR="00700F7A" w:rsidRDefault="00700F7A"/>
    <w:p w:rsidR="00FB446B" w:rsidRPr="00A93677" w:rsidRDefault="00FB446B" w:rsidP="00FB446B">
      <w:pPr>
        <w:pStyle w:val="Titolo1"/>
      </w:pPr>
      <w:bookmarkStart w:id="14" w:name="_Toc415671162"/>
      <w:bookmarkStart w:id="15" w:name="_Toc421177343"/>
      <w:r>
        <w:t>Il mercato del credito</w:t>
      </w:r>
      <w:bookmarkEnd w:id="14"/>
      <w:bookmarkEnd w:id="15"/>
    </w:p>
    <w:tbl>
      <w:tblPr>
        <w:tblW w:w="8717" w:type="dxa"/>
        <w:jc w:val="center"/>
        <w:tblInd w:w="198" w:type="dxa"/>
        <w:tblLayout w:type="fixed"/>
        <w:tblLook w:val="01E0" w:firstRow="1" w:lastRow="1" w:firstColumn="1" w:lastColumn="1" w:noHBand="0" w:noVBand="0"/>
      </w:tblPr>
      <w:tblGrid>
        <w:gridCol w:w="1630"/>
        <w:gridCol w:w="7087"/>
      </w:tblGrid>
      <w:tr w:rsidR="00FB446B" w:rsidRPr="00C048ED" w:rsidTr="004E25A3">
        <w:trPr>
          <w:jc w:val="center"/>
        </w:trPr>
        <w:tc>
          <w:tcPr>
            <w:tcW w:w="1630" w:type="dxa"/>
            <w:shd w:val="clear" w:color="auto" w:fill="auto"/>
          </w:tcPr>
          <w:p w:rsidR="00FB446B" w:rsidRPr="00A93677" w:rsidRDefault="00FB446B" w:rsidP="004E25A3">
            <w:pPr>
              <w:suppressAutoHyphens/>
              <w:rPr>
                <w:rFonts w:ascii="Arial" w:hAnsi="Arial" w:cs="Arial"/>
                <w:b/>
                <w:color w:val="000080"/>
              </w:rPr>
            </w:pPr>
            <w:r w:rsidRPr="00A93677">
              <w:rPr>
                <w:rFonts w:ascii="Arial" w:hAnsi="Arial" w:cs="Arial"/>
                <w:b/>
                <w:color w:val="000080"/>
              </w:rPr>
              <w:t>Il diverso atteggiamento delle banche verso l’immobiliare</w:t>
            </w:r>
          </w:p>
        </w:tc>
        <w:tc>
          <w:tcPr>
            <w:tcW w:w="7087" w:type="dxa"/>
            <w:shd w:val="clear" w:color="auto" w:fill="auto"/>
          </w:tcPr>
          <w:p w:rsidR="00834A3C" w:rsidRPr="00834A3C" w:rsidRDefault="00834A3C" w:rsidP="00834A3C">
            <w:pPr>
              <w:spacing w:after="120"/>
              <w:jc w:val="both"/>
              <w:rPr>
                <w:rFonts w:ascii="Arial" w:hAnsi="Arial" w:cs="Arial"/>
                <w:sz w:val="22"/>
                <w:szCs w:val="22"/>
              </w:rPr>
            </w:pPr>
            <w:r w:rsidRPr="00834A3C">
              <w:rPr>
                <w:rFonts w:ascii="Arial" w:hAnsi="Arial" w:cs="Arial"/>
                <w:sz w:val="22"/>
                <w:szCs w:val="22"/>
              </w:rPr>
              <w:t>Su questi primi segnali positivi incide, certamente, il diverso atteggi</w:t>
            </w:r>
            <w:r w:rsidRPr="00834A3C">
              <w:rPr>
                <w:rFonts w:ascii="Arial" w:hAnsi="Arial" w:cs="Arial"/>
                <w:sz w:val="22"/>
                <w:szCs w:val="22"/>
              </w:rPr>
              <w:t>a</w:t>
            </w:r>
            <w:r w:rsidRPr="00834A3C">
              <w:rPr>
                <w:rFonts w:ascii="Arial" w:hAnsi="Arial" w:cs="Arial"/>
                <w:sz w:val="22"/>
                <w:szCs w:val="22"/>
              </w:rPr>
              <w:t>mento delle banche che, nel 2014, sembrano aver ridotto la diffidenza verso il settore immobiliare residenziale.</w:t>
            </w:r>
          </w:p>
          <w:p w:rsidR="00834A3C" w:rsidRPr="00834A3C" w:rsidRDefault="00834A3C" w:rsidP="00834A3C">
            <w:pPr>
              <w:spacing w:after="120"/>
              <w:jc w:val="both"/>
              <w:rPr>
                <w:rFonts w:ascii="Arial" w:hAnsi="Arial" w:cs="Arial"/>
                <w:sz w:val="22"/>
                <w:szCs w:val="22"/>
              </w:rPr>
            </w:pPr>
            <w:r w:rsidRPr="00834A3C">
              <w:rPr>
                <w:rFonts w:ascii="Arial" w:hAnsi="Arial" w:cs="Arial"/>
                <w:sz w:val="22"/>
                <w:szCs w:val="22"/>
              </w:rPr>
              <w:t xml:space="preserve">Il 2014 si è, infatti, chiuso con un incremento delle erogazioni di mutui per l’acquisto di abitazioni da parte delle famiglie pari, in Italia, al +13,4%. </w:t>
            </w:r>
          </w:p>
          <w:p w:rsidR="00834A3C" w:rsidRDefault="00834A3C" w:rsidP="00834A3C">
            <w:pPr>
              <w:spacing w:after="120"/>
              <w:jc w:val="both"/>
              <w:rPr>
                <w:rFonts w:ascii="Arial" w:hAnsi="Arial" w:cs="Arial"/>
                <w:sz w:val="22"/>
                <w:szCs w:val="22"/>
              </w:rPr>
            </w:pPr>
            <w:r w:rsidRPr="00834A3C">
              <w:rPr>
                <w:rFonts w:ascii="Arial" w:hAnsi="Arial" w:cs="Arial"/>
                <w:sz w:val="22"/>
                <w:szCs w:val="22"/>
              </w:rPr>
              <w:t xml:space="preserve">Anche in </w:t>
            </w:r>
            <w:r w:rsidRPr="0016518D">
              <w:rPr>
                <w:rFonts w:ascii="Arial" w:hAnsi="Arial" w:cs="Arial"/>
                <w:b/>
                <w:sz w:val="22"/>
                <w:szCs w:val="22"/>
              </w:rPr>
              <w:t>Emilia-Romagna il 2014 è stato un anno di ripresa per i mutui per l’acquisto di abitazioni: le famiglie hanno avuto a d</w:t>
            </w:r>
            <w:r w:rsidRPr="0016518D">
              <w:rPr>
                <w:rFonts w:ascii="Arial" w:hAnsi="Arial" w:cs="Arial"/>
                <w:b/>
                <w:sz w:val="22"/>
                <w:szCs w:val="22"/>
              </w:rPr>
              <w:t>i</w:t>
            </w:r>
            <w:r w:rsidRPr="0016518D">
              <w:rPr>
                <w:rFonts w:ascii="Arial" w:hAnsi="Arial" w:cs="Arial"/>
                <w:b/>
                <w:sz w:val="22"/>
                <w:szCs w:val="22"/>
              </w:rPr>
              <w:t>sposizione, infatti, il 9,6% in più di liquidità per acquistare la c</w:t>
            </w:r>
            <w:r w:rsidRPr="0016518D">
              <w:rPr>
                <w:rFonts w:ascii="Arial" w:hAnsi="Arial" w:cs="Arial"/>
                <w:b/>
                <w:sz w:val="22"/>
                <w:szCs w:val="22"/>
              </w:rPr>
              <w:t>a</w:t>
            </w:r>
            <w:r w:rsidRPr="0016518D">
              <w:rPr>
                <w:rFonts w:ascii="Arial" w:hAnsi="Arial" w:cs="Arial"/>
                <w:b/>
                <w:sz w:val="22"/>
                <w:szCs w:val="22"/>
              </w:rPr>
              <w:t>sa</w:t>
            </w:r>
            <w:r w:rsidRPr="00834A3C">
              <w:rPr>
                <w:rFonts w:ascii="Arial" w:hAnsi="Arial" w:cs="Arial"/>
                <w:sz w:val="22"/>
                <w:szCs w:val="22"/>
              </w:rPr>
              <w:t>.</w:t>
            </w:r>
          </w:p>
          <w:p w:rsidR="00FB446B" w:rsidRPr="00742038" w:rsidRDefault="00834A3C" w:rsidP="0016518D">
            <w:pPr>
              <w:spacing w:after="120"/>
              <w:jc w:val="both"/>
              <w:rPr>
                <w:rFonts w:ascii="Arial" w:hAnsi="Arial" w:cs="Arial"/>
                <w:sz w:val="22"/>
                <w:szCs w:val="22"/>
              </w:rPr>
            </w:pPr>
            <w:r w:rsidRPr="00834A3C">
              <w:rPr>
                <w:rFonts w:ascii="Arial" w:hAnsi="Arial" w:cs="Arial"/>
                <w:sz w:val="22"/>
                <w:szCs w:val="22"/>
              </w:rPr>
              <w:t xml:space="preserve">Se da un lato è da apprezzare questa rinnovata apertura del sistema bancario a finanziare le famiglie, dall’altro è necessario sottolineare che questi segnali positivi avvengono dopo un vero e proprio crollo del finanziamento bancario per le famiglie: in Emilia-Romagna, tra il 2007 e il 2013, le erogazioni di mutui sono diminuite, complessivamente, di oltre il 70%, mentre in Italia la diminuzione, nello stesso periodo, è stata di oltre il 65%. </w:t>
            </w:r>
          </w:p>
        </w:tc>
      </w:tr>
      <w:tr w:rsidR="00F20DB8" w:rsidRPr="00F20DB8" w:rsidTr="004E25A3">
        <w:trPr>
          <w:jc w:val="center"/>
        </w:trPr>
        <w:tc>
          <w:tcPr>
            <w:tcW w:w="1630" w:type="dxa"/>
            <w:shd w:val="clear" w:color="auto" w:fill="auto"/>
          </w:tcPr>
          <w:p w:rsidR="00F20DB8" w:rsidRPr="00F20DB8" w:rsidRDefault="00F20DB8" w:rsidP="004E25A3">
            <w:pPr>
              <w:suppressAutoHyphens/>
              <w:rPr>
                <w:rFonts w:ascii="Arial" w:hAnsi="Arial" w:cs="Arial"/>
                <w:b/>
                <w:color w:val="000080"/>
                <w:sz w:val="6"/>
              </w:rPr>
            </w:pPr>
          </w:p>
        </w:tc>
        <w:tc>
          <w:tcPr>
            <w:tcW w:w="7087" w:type="dxa"/>
            <w:shd w:val="clear" w:color="auto" w:fill="auto"/>
          </w:tcPr>
          <w:p w:rsidR="00F20DB8" w:rsidRPr="00F20DB8" w:rsidRDefault="00F20DB8" w:rsidP="004E25A3">
            <w:pPr>
              <w:spacing w:after="120"/>
              <w:jc w:val="both"/>
              <w:rPr>
                <w:rFonts w:ascii="Arial" w:hAnsi="Arial" w:cs="Arial"/>
                <w:sz w:val="6"/>
                <w:szCs w:val="22"/>
              </w:rPr>
            </w:pPr>
          </w:p>
        </w:tc>
      </w:tr>
    </w:tbl>
    <w:p w:rsidR="00FB446B" w:rsidRDefault="00834A3C" w:rsidP="005E4B16">
      <w:pPr>
        <w:jc w:val="center"/>
      </w:pPr>
      <w:r w:rsidRPr="00F73EB1">
        <w:rPr>
          <w:noProof/>
        </w:rPr>
        <w:drawing>
          <wp:inline distT="0" distB="0" distL="0" distR="0" wp14:anchorId="182195A8" wp14:editId="5B77112A">
            <wp:extent cx="5146795" cy="1704975"/>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3208" cy="1703787"/>
                    </a:xfrm>
                    <a:prstGeom prst="rect">
                      <a:avLst/>
                    </a:prstGeom>
                    <a:noFill/>
                    <a:ln>
                      <a:noFill/>
                    </a:ln>
                  </pic:spPr>
                </pic:pic>
              </a:graphicData>
            </a:graphic>
          </wp:inline>
        </w:drawing>
      </w:r>
    </w:p>
    <w:p w:rsidR="00161FCC" w:rsidRPr="00F75D58" w:rsidRDefault="00161FCC" w:rsidP="00624D0E">
      <w:pPr>
        <w:rPr>
          <w:sz w:val="16"/>
        </w:rPr>
      </w:pPr>
    </w:p>
    <w:tbl>
      <w:tblPr>
        <w:tblW w:w="8717" w:type="dxa"/>
        <w:jc w:val="center"/>
        <w:tblInd w:w="198" w:type="dxa"/>
        <w:tblLayout w:type="fixed"/>
        <w:tblLook w:val="01E0" w:firstRow="1" w:lastRow="1" w:firstColumn="1" w:lastColumn="1" w:noHBand="0" w:noVBand="0"/>
      </w:tblPr>
      <w:tblGrid>
        <w:gridCol w:w="1630"/>
        <w:gridCol w:w="7087"/>
      </w:tblGrid>
      <w:tr w:rsidR="00FB446B" w:rsidRPr="00C048ED" w:rsidTr="004E25A3">
        <w:trPr>
          <w:jc w:val="center"/>
        </w:trPr>
        <w:tc>
          <w:tcPr>
            <w:tcW w:w="1630" w:type="dxa"/>
            <w:shd w:val="clear" w:color="auto" w:fill="auto"/>
          </w:tcPr>
          <w:p w:rsidR="00FB446B" w:rsidRPr="00A93677" w:rsidRDefault="00834A3C" w:rsidP="004E25A3">
            <w:pPr>
              <w:suppressAutoHyphens/>
              <w:rPr>
                <w:rFonts w:ascii="Arial" w:hAnsi="Arial" w:cs="Arial"/>
                <w:b/>
                <w:color w:val="000080"/>
              </w:rPr>
            </w:pPr>
            <w:r>
              <w:rPr>
                <w:rFonts w:ascii="Arial" w:hAnsi="Arial" w:cs="Arial"/>
                <w:b/>
                <w:color w:val="000080"/>
              </w:rPr>
              <w:t>In Emilia-Romagna primi segnali positivi anche per le imprese</w:t>
            </w:r>
          </w:p>
        </w:tc>
        <w:tc>
          <w:tcPr>
            <w:tcW w:w="7087" w:type="dxa"/>
            <w:shd w:val="clear" w:color="auto" w:fill="auto"/>
          </w:tcPr>
          <w:p w:rsidR="00834A3C" w:rsidRPr="00834A3C" w:rsidRDefault="00834A3C" w:rsidP="00834A3C">
            <w:pPr>
              <w:spacing w:after="100"/>
              <w:jc w:val="both"/>
              <w:rPr>
                <w:rFonts w:ascii="Arial" w:hAnsi="Arial" w:cs="Arial"/>
                <w:sz w:val="22"/>
                <w:szCs w:val="22"/>
              </w:rPr>
            </w:pPr>
            <w:r w:rsidRPr="00834A3C">
              <w:rPr>
                <w:rFonts w:ascii="Arial" w:hAnsi="Arial" w:cs="Arial"/>
                <w:sz w:val="22"/>
                <w:szCs w:val="22"/>
              </w:rPr>
              <w:t>Diversamente da quanto registrato nell’intero territorio nazionale, il 2014 si è chiuso, in Emilia-Romagna, con un incremento dei finanzi</w:t>
            </w:r>
            <w:r w:rsidRPr="00834A3C">
              <w:rPr>
                <w:rFonts w:ascii="Arial" w:hAnsi="Arial" w:cs="Arial"/>
                <w:sz w:val="22"/>
                <w:szCs w:val="22"/>
              </w:rPr>
              <w:t>a</w:t>
            </w:r>
            <w:r w:rsidRPr="00834A3C">
              <w:rPr>
                <w:rFonts w:ascii="Arial" w:hAnsi="Arial" w:cs="Arial"/>
                <w:sz w:val="22"/>
                <w:szCs w:val="22"/>
              </w:rPr>
              <w:t>menti per investimenti in costruzioni.</w:t>
            </w:r>
          </w:p>
          <w:p w:rsidR="00834A3C" w:rsidRPr="00834A3C" w:rsidRDefault="00834A3C" w:rsidP="00834A3C">
            <w:pPr>
              <w:spacing w:after="100"/>
              <w:jc w:val="both"/>
              <w:rPr>
                <w:rFonts w:ascii="Arial" w:hAnsi="Arial" w:cs="Arial"/>
                <w:sz w:val="22"/>
                <w:szCs w:val="22"/>
              </w:rPr>
            </w:pPr>
            <w:r w:rsidRPr="00834A3C">
              <w:rPr>
                <w:rFonts w:ascii="Arial" w:hAnsi="Arial" w:cs="Arial"/>
                <w:sz w:val="22"/>
                <w:szCs w:val="22"/>
              </w:rPr>
              <w:t>Nel comparto residenziale, infatti, nella regione i finanziamenti erogati sono aumentati del 4,6% rispetto al 2013, variazione totalmente ascr</w:t>
            </w:r>
            <w:r w:rsidRPr="00834A3C">
              <w:rPr>
                <w:rFonts w:ascii="Arial" w:hAnsi="Arial" w:cs="Arial"/>
                <w:sz w:val="22"/>
                <w:szCs w:val="22"/>
              </w:rPr>
              <w:t>i</w:t>
            </w:r>
            <w:r w:rsidRPr="00834A3C">
              <w:rPr>
                <w:rFonts w:ascii="Arial" w:hAnsi="Arial" w:cs="Arial"/>
                <w:sz w:val="22"/>
                <w:szCs w:val="22"/>
              </w:rPr>
              <w:t>vibile a quanto registrato nell’ultimo trimestre dell’anno (+12% rispetto al quarto trimestre 2013). In Italia, invece, nello stesso periodo i fina</w:t>
            </w:r>
            <w:r w:rsidRPr="00834A3C">
              <w:rPr>
                <w:rFonts w:ascii="Arial" w:hAnsi="Arial" w:cs="Arial"/>
                <w:sz w:val="22"/>
                <w:szCs w:val="22"/>
              </w:rPr>
              <w:t>n</w:t>
            </w:r>
            <w:r w:rsidRPr="00834A3C">
              <w:rPr>
                <w:rFonts w:ascii="Arial" w:hAnsi="Arial" w:cs="Arial"/>
                <w:sz w:val="22"/>
                <w:szCs w:val="22"/>
              </w:rPr>
              <w:t>ziamenti per investimenti nel comparto abitativo hanno continuato a diminuire di un ulteriore -18,3% rispetto al 2013.</w:t>
            </w:r>
          </w:p>
          <w:p w:rsidR="00221B32" w:rsidRPr="00032CF1" w:rsidRDefault="00834A3C" w:rsidP="00834A3C">
            <w:pPr>
              <w:spacing w:after="100"/>
              <w:jc w:val="both"/>
              <w:rPr>
                <w:rFonts w:ascii="Arial" w:hAnsi="Arial" w:cs="Arial"/>
                <w:sz w:val="22"/>
                <w:szCs w:val="22"/>
              </w:rPr>
            </w:pPr>
            <w:r w:rsidRPr="00834A3C">
              <w:rPr>
                <w:rFonts w:ascii="Arial" w:hAnsi="Arial" w:cs="Arial"/>
                <w:sz w:val="22"/>
                <w:szCs w:val="22"/>
              </w:rPr>
              <w:t>Anche per quanto riguarda il settore non residenziale nel 2014 in Em</w:t>
            </w:r>
            <w:r w:rsidRPr="00834A3C">
              <w:rPr>
                <w:rFonts w:ascii="Arial" w:hAnsi="Arial" w:cs="Arial"/>
                <w:sz w:val="22"/>
                <w:szCs w:val="22"/>
              </w:rPr>
              <w:t>i</w:t>
            </w:r>
            <w:r w:rsidRPr="00834A3C">
              <w:rPr>
                <w:rFonts w:ascii="Arial" w:hAnsi="Arial" w:cs="Arial"/>
                <w:sz w:val="22"/>
                <w:szCs w:val="22"/>
              </w:rPr>
              <w:t>lia-Romagna si sono registrati dei segnali positivi a partire dal seco</w:t>
            </w:r>
            <w:r w:rsidRPr="00834A3C">
              <w:rPr>
                <w:rFonts w:ascii="Arial" w:hAnsi="Arial" w:cs="Arial"/>
                <w:sz w:val="22"/>
                <w:szCs w:val="22"/>
              </w:rPr>
              <w:t>n</w:t>
            </w:r>
            <w:r w:rsidRPr="00834A3C">
              <w:rPr>
                <w:rFonts w:ascii="Arial" w:hAnsi="Arial" w:cs="Arial"/>
                <w:sz w:val="22"/>
                <w:szCs w:val="22"/>
              </w:rPr>
              <w:t>do trimestre, con un incremento totale del 26,7% rispetto al 2013, a</w:t>
            </w:r>
            <w:r w:rsidRPr="00834A3C">
              <w:rPr>
                <w:rFonts w:ascii="Arial" w:hAnsi="Arial" w:cs="Arial"/>
                <w:sz w:val="22"/>
                <w:szCs w:val="22"/>
              </w:rPr>
              <w:t>u</w:t>
            </w:r>
            <w:r w:rsidRPr="00834A3C">
              <w:rPr>
                <w:rFonts w:ascii="Arial" w:hAnsi="Arial" w:cs="Arial"/>
                <w:sz w:val="22"/>
                <w:szCs w:val="22"/>
              </w:rPr>
              <w:t>mento più forte di quanto registrato sull’intero territorio nazionale, d</w:t>
            </w:r>
            <w:r w:rsidRPr="00834A3C">
              <w:rPr>
                <w:rFonts w:ascii="Arial" w:hAnsi="Arial" w:cs="Arial"/>
                <w:sz w:val="22"/>
                <w:szCs w:val="22"/>
              </w:rPr>
              <w:t>o</w:t>
            </w:r>
            <w:r w:rsidRPr="00834A3C">
              <w:rPr>
                <w:rFonts w:ascii="Arial" w:hAnsi="Arial" w:cs="Arial"/>
                <w:sz w:val="22"/>
                <w:szCs w:val="22"/>
              </w:rPr>
              <w:t>ve la variazione è stata pari al +6,7% rispetto all’anno precedente.</w:t>
            </w:r>
          </w:p>
        </w:tc>
      </w:tr>
    </w:tbl>
    <w:p w:rsidR="00FB446B" w:rsidRDefault="00FB446B" w:rsidP="00624D0E">
      <w:pPr>
        <w:rPr>
          <w:noProof/>
        </w:rPr>
      </w:pPr>
    </w:p>
    <w:p w:rsidR="00834A3C" w:rsidRDefault="00834A3C" w:rsidP="00624D0E">
      <w:pPr>
        <w:rPr>
          <w:noProof/>
        </w:rPr>
      </w:pPr>
    </w:p>
    <w:p w:rsidR="00834A3C" w:rsidRDefault="00834A3C" w:rsidP="00624D0E">
      <w:pPr>
        <w:rPr>
          <w:noProof/>
        </w:rPr>
      </w:pPr>
      <w:r w:rsidRPr="002701C4">
        <w:rPr>
          <w:noProof/>
        </w:rPr>
        <w:drawing>
          <wp:inline distT="0" distB="0" distL="0" distR="0" wp14:anchorId="01DA6EE0" wp14:editId="33DC2918">
            <wp:extent cx="5815792" cy="1771650"/>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5108" cy="1771442"/>
                    </a:xfrm>
                    <a:prstGeom prst="rect">
                      <a:avLst/>
                    </a:prstGeom>
                    <a:noFill/>
                    <a:ln>
                      <a:noFill/>
                    </a:ln>
                  </pic:spPr>
                </pic:pic>
              </a:graphicData>
            </a:graphic>
          </wp:inline>
        </w:drawing>
      </w:r>
    </w:p>
    <w:p w:rsidR="00834A3C" w:rsidRDefault="00834A3C" w:rsidP="00624D0E">
      <w:pPr>
        <w:rPr>
          <w:noProof/>
        </w:rPr>
      </w:pPr>
    </w:p>
    <w:p w:rsidR="005B2DFD" w:rsidRDefault="005B2DFD" w:rsidP="005B2DFD">
      <w:pPr>
        <w:pStyle w:val="Titolo1"/>
      </w:pPr>
      <w:bookmarkStart w:id="16" w:name="_Toc421177344"/>
      <w:r>
        <w:t>Le dinamiche demografiche</w:t>
      </w:r>
      <w:r w:rsidR="00A400A4">
        <w:t xml:space="preserve"> e stock abitativo</w:t>
      </w:r>
      <w:bookmarkEnd w:id="16"/>
      <w:r>
        <w:t xml:space="preserve"> </w:t>
      </w:r>
    </w:p>
    <w:tbl>
      <w:tblPr>
        <w:tblW w:w="8719" w:type="dxa"/>
        <w:jc w:val="center"/>
        <w:tblInd w:w="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7051"/>
      </w:tblGrid>
      <w:tr w:rsidR="00767877" w:rsidTr="00FB67E1">
        <w:trPr>
          <w:jc w:val="center"/>
        </w:trPr>
        <w:tc>
          <w:tcPr>
            <w:tcW w:w="1668" w:type="dxa"/>
            <w:tcBorders>
              <w:top w:val="nil"/>
              <w:left w:val="nil"/>
              <w:bottom w:val="nil"/>
              <w:right w:val="nil"/>
            </w:tcBorders>
          </w:tcPr>
          <w:p w:rsidR="00767877" w:rsidRPr="00A93677" w:rsidRDefault="008A1BDE" w:rsidP="00A639E6">
            <w:pPr>
              <w:suppressAutoHyphens/>
              <w:rPr>
                <w:rFonts w:ascii="Arial" w:hAnsi="Arial" w:cs="Arial"/>
                <w:b/>
                <w:color w:val="000080"/>
              </w:rPr>
            </w:pPr>
            <w:r w:rsidRPr="008A1BDE">
              <w:rPr>
                <w:rFonts w:ascii="Arial" w:hAnsi="Arial" w:cs="Arial"/>
                <w:b/>
                <w:color w:val="000080"/>
              </w:rPr>
              <w:t>Popolazione, famiglie  e stock abitativo</w:t>
            </w:r>
          </w:p>
        </w:tc>
        <w:tc>
          <w:tcPr>
            <w:tcW w:w="7051" w:type="dxa"/>
            <w:tcBorders>
              <w:top w:val="nil"/>
              <w:left w:val="nil"/>
              <w:bottom w:val="nil"/>
              <w:right w:val="nil"/>
            </w:tcBorders>
          </w:tcPr>
          <w:p w:rsidR="00767877" w:rsidRDefault="008A1BDE" w:rsidP="00693862">
            <w:pPr>
              <w:tabs>
                <w:tab w:val="left" w:pos="3765"/>
              </w:tabs>
              <w:spacing w:after="120"/>
              <w:jc w:val="both"/>
              <w:rPr>
                <w:rFonts w:ascii="Arial" w:hAnsi="Arial" w:cs="Arial"/>
                <w:sz w:val="22"/>
              </w:rPr>
            </w:pPr>
            <w:r w:rsidRPr="008A1BDE">
              <w:rPr>
                <w:rFonts w:ascii="Arial" w:hAnsi="Arial" w:cs="Arial"/>
                <w:sz w:val="22"/>
              </w:rPr>
              <w:t>Secondo i dati del Censimento Istat 2011, in Emilia-Romagna, la p</w:t>
            </w:r>
            <w:r w:rsidRPr="008A1BDE">
              <w:rPr>
                <w:rFonts w:ascii="Arial" w:hAnsi="Arial" w:cs="Arial"/>
                <w:sz w:val="22"/>
              </w:rPr>
              <w:t>o</w:t>
            </w:r>
            <w:r w:rsidRPr="008A1BDE">
              <w:rPr>
                <w:rFonts w:ascii="Arial" w:hAnsi="Arial" w:cs="Arial"/>
                <w:sz w:val="22"/>
              </w:rPr>
              <w:t>polazione residente è passata da 4.000.703 del 2001 a 4.342.135 di dieci anni dopo, crescendo di circa 342mila unità, pari ad un signific</w:t>
            </w:r>
            <w:r w:rsidRPr="008A1BDE">
              <w:rPr>
                <w:rFonts w:ascii="Arial" w:hAnsi="Arial" w:cs="Arial"/>
                <w:sz w:val="22"/>
              </w:rPr>
              <w:t>a</w:t>
            </w:r>
            <w:r w:rsidRPr="008A1BDE">
              <w:rPr>
                <w:rFonts w:ascii="Arial" w:hAnsi="Arial" w:cs="Arial"/>
                <w:sz w:val="22"/>
              </w:rPr>
              <w:t>tivo aumento dell’8,5%. Nello stesso periodo, l’incremento in termini di famiglie residenti è ancora più elevato e pari al 15,5%, ovvero circa 258mila unità in più.  L’Emilia-Romagna risulta una delle regioni it</w:t>
            </w:r>
            <w:r w:rsidRPr="008A1BDE">
              <w:rPr>
                <w:rFonts w:ascii="Arial" w:hAnsi="Arial" w:cs="Arial"/>
                <w:sz w:val="22"/>
              </w:rPr>
              <w:t>a</w:t>
            </w:r>
            <w:r w:rsidRPr="008A1BDE">
              <w:rPr>
                <w:rFonts w:ascii="Arial" w:hAnsi="Arial" w:cs="Arial"/>
                <w:sz w:val="22"/>
              </w:rPr>
              <w:t>liane a più alto incremento demografico: nello stesso decennio a live</w:t>
            </w:r>
            <w:r w:rsidRPr="008A1BDE">
              <w:rPr>
                <w:rFonts w:ascii="Arial" w:hAnsi="Arial" w:cs="Arial"/>
                <w:sz w:val="22"/>
              </w:rPr>
              <w:t>l</w:t>
            </w:r>
            <w:r w:rsidRPr="008A1BDE">
              <w:rPr>
                <w:rFonts w:ascii="Arial" w:hAnsi="Arial" w:cs="Arial"/>
                <w:sz w:val="22"/>
              </w:rPr>
              <w:t>lo medio nazionale la crescita in termini di  popolazione residente si è attestata al 4,3%, mentre le famiglie hanno evidenziato un aumento del 12,8%.</w:t>
            </w:r>
          </w:p>
          <w:p w:rsidR="008A1BDE" w:rsidRPr="00816A8D" w:rsidRDefault="008A1BDE" w:rsidP="00693862">
            <w:pPr>
              <w:tabs>
                <w:tab w:val="left" w:pos="3765"/>
              </w:tabs>
              <w:spacing w:after="120"/>
              <w:jc w:val="both"/>
              <w:rPr>
                <w:rFonts w:ascii="Arial" w:hAnsi="Arial" w:cs="Arial"/>
                <w:sz w:val="22"/>
                <w:szCs w:val="24"/>
              </w:rPr>
            </w:pPr>
            <w:r w:rsidRPr="008A1BDE">
              <w:rPr>
                <w:rFonts w:ascii="Arial" w:hAnsi="Arial" w:cs="Arial"/>
                <w:sz w:val="22"/>
                <w:szCs w:val="24"/>
              </w:rPr>
              <w:t>Anche nelle singole province emiliano-romagnole si registrano a</w:t>
            </w:r>
            <w:r w:rsidRPr="008A1BDE">
              <w:rPr>
                <w:rFonts w:ascii="Arial" w:hAnsi="Arial" w:cs="Arial"/>
                <w:sz w:val="22"/>
                <w:szCs w:val="24"/>
              </w:rPr>
              <w:t>u</w:t>
            </w:r>
            <w:r w:rsidRPr="008A1BDE">
              <w:rPr>
                <w:rFonts w:ascii="Arial" w:hAnsi="Arial" w:cs="Arial"/>
                <w:sz w:val="22"/>
                <w:szCs w:val="24"/>
              </w:rPr>
              <w:t>menti rilevanti sia in termini di popolazione residente che soprattutto di famiglie residenti, con tassi di incremento, nel caso di quest’ultime, sempre a due cifre e comprese tra il +11,9% di Piacenza e Ferrara e il +19,8% di Reggio-Emilia.</w:t>
            </w:r>
          </w:p>
        </w:tc>
      </w:tr>
    </w:tbl>
    <w:p w:rsidR="00767877" w:rsidRDefault="00767877" w:rsidP="00767877">
      <w:pPr>
        <w:tabs>
          <w:tab w:val="left" w:pos="3765"/>
        </w:tabs>
        <w:jc w:val="both"/>
        <w:rPr>
          <w:rFonts w:ascii="Arial" w:hAnsi="Arial" w:cs="Arial"/>
        </w:rPr>
      </w:pPr>
    </w:p>
    <w:p w:rsidR="00767877" w:rsidRDefault="008A1BDE" w:rsidP="00767877">
      <w:pPr>
        <w:tabs>
          <w:tab w:val="left" w:pos="3765"/>
        </w:tabs>
        <w:jc w:val="both"/>
        <w:rPr>
          <w:noProof/>
        </w:rPr>
      </w:pPr>
      <w:r>
        <w:rPr>
          <w:noProof/>
        </w:rPr>
        <w:drawing>
          <wp:anchor distT="0" distB="0" distL="114300" distR="114300" simplePos="0" relativeHeight="253201408" behindDoc="0" locked="0" layoutInCell="1" allowOverlap="1" wp14:anchorId="20214D86" wp14:editId="38A7C2F4">
            <wp:simplePos x="0" y="0"/>
            <wp:positionH relativeFrom="column">
              <wp:posOffset>-494030</wp:posOffset>
            </wp:positionH>
            <wp:positionV relativeFrom="paragraph">
              <wp:posOffset>46990</wp:posOffset>
            </wp:positionV>
            <wp:extent cx="6793230" cy="2551430"/>
            <wp:effectExtent l="0" t="0" r="0" b="0"/>
            <wp:wrapSquare wrapText="bothSides"/>
            <wp:docPr id="317" name="Immagin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93230" cy="2551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7877" w:rsidRDefault="00767877" w:rsidP="00767877">
      <w:pPr>
        <w:tabs>
          <w:tab w:val="left" w:pos="3765"/>
        </w:tabs>
        <w:jc w:val="both"/>
        <w:rPr>
          <w:noProof/>
        </w:rPr>
      </w:pPr>
    </w:p>
    <w:tbl>
      <w:tblPr>
        <w:tblW w:w="8719" w:type="dxa"/>
        <w:jc w:val="center"/>
        <w:tblInd w:w="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7051"/>
      </w:tblGrid>
      <w:tr w:rsidR="008A1BDE" w:rsidTr="00A16BCD">
        <w:trPr>
          <w:jc w:val="center"/>
        </w:trPr>
        <w:tc>
          <w:tcPr>
            <w:tcW w:w="1668" w:type="dxa"/>
            <w:tcBorders>
              <w:top w:val="nil"/>
              <w:left w:val="nil"/>
              <w:bottom w:val="nil"/>
              <w:right w:val="nil"/>
            </w:tcBorders>
          </w:tcPr>
          <w:p w:rsidR="008A1BDE" w:rsidRPr="00A93677" w:rsidRDefault="008A1BDE" w:rsidP="00A16BCD">
            <w:pPr>
              <w:suppressAutoHyphens/>
              <w:rPr>
                <w:rFonts w:ascii="Arial" w:hAnsi="Arial" w:cs="Arial"/>
                <w:b/>
                <w:color w:val="000080"/>
              </w:rPr>
            </w:pPr>
          </w:p>
        </w:tc>
        <w:tc>
          <w:tcPr>
            <w:tcW w:w="7051" w:type="dxa"/>
            <w:tcBorders>
              <w:top w:val="nil"/>
              <w:left w:val="nil"/>
              <w:bottom w:val="nil"/>
              <w:right w:val="nil"/>
            </w:tcBorders>
          </w:tcPr>
          <w:p w:rsidR="008A1BDE" w:rsidRPr="008A1BDE" w:rsidRDefault="008A1BDE" w:rsidP="008A1BDE">
            <w:pPr>
              <w:tabs>
                <w:tab w:val="left" w:pos="3765"/>
              </w:tabs>
              <w:spacing w:after="120"/>
              <w:jc w:val="both"/>
              <w:rPr>
                <w:rFonts w:ascii="Arial" w:hAnsi="Arial" w:cs="Arial"/>
                <w:sz w:val="22"/>
              </w:rPr>
            </w:pPr>
            <w:r w:rsidRPr="008A1BDE">
              <w:rPr>
                <w:rFonts w:ascii="Arial" w:hAnsi="Arial" w:cs="Arial"/>
                <w:sz w:val="22"/>
              </w:rPr>
              <w:t>Relativamente allo stock abitativo, i dati del Censimento Istat evide</w:t>
            </w:r>
            <w:r w:rsidRPr="008A1BDE">
              <w:rPr>
                <w:rFonts w:ascii="Arial" w:hAnsi="Arial" w:cs="Arial"/>
                <w:sz w:val="22"/>
              </w:rPr>
              <w:t>n</w:t>
            </w:r>
            <w:r w:rsidRPr="008A1BDE">
              <w:rPr>
                <w:rFonts w:ascii="Arial" w:hAnsi="Arial" w:cs="Arial"/>
                <w:sz w:val="22"/>
              </w:rPr>
              <w:t>ziano per la regione circa 2,4 milioni di abitazioni, di cui quasi l’80% è costituito da abitazioni occupate da residenti (circa 1,9 milioni) e il r</w:t>
            </w:r>
            <w:r w:rsidRPr="008A1BDE">
              <w:rPr>
                <w:rFonts w:ascii="Arial" w:hAnsi="Arial" w:cs="Arial"/>
                <w:sz w:val="22"/>
              </w:rPr>
              <w:t>e</w:t>
            </w:r>
            <w:r w:rsidRPr="008A1BDE">
              <w:rPr>
                <w:rFonts w:ascii="Arial" w:hAnsi="Arial" w:cs="Arial"/>
                <w:sz w:val="22"/>
              </w:rPr>
              <w:t>stante 20% (circa 487mila) da abitazioni non occupate o occupate da non residenti (case per vacanza, abitazioni occupate da persone non residenti che vi dimorano ad esempio per motivi di studio, di lavoro, abitazioni vuote).</w:t>
            </w:r>
          </w:p>
          <w:p w:rsidR="008A1BDE" w:rsidRPr="00816A8D" w:rsidRDefault="008A1BDE" w:rsidP="008A1BDE">
            <w:pPr>
              <w:tabs>
                <w:tab w:val="left" w:pos="3765"/>
              </w:tabs>
              <w:spacing w:after="120"/>
              <w:jc w:val="both"/>
              <w:rPr>
                <w:rFonts w:ascii="Arial" w:hAnsi="Arial" w:cs="Arial"/>
                <w:sz w:val="22"/>
                <w:szCs w:val="24"/>
              </w:rPr>
            </w:pPr>
            <w:r w:rsidRPr="008A1BDE">
              <w:rPr>
                <w:rFonts w:ascii="Arial" w:hAnsi="Arial" w:cs="Arial"/>
                <w:sz w:val="22"/>
              </w:rPr>
              <w:t>Tra il 2001 e il 2011 lo stock abitativo in Emilia-Romagna è cresciuto del 18,8% pari a circa 373mila unità in più. Le abitazioni occupate s</w:t>
            </w:r>
            <w:r w:rsidRPr="008A1BDE">
              <w:rPr>
                <w:rFonts w:ascii="Arial" w:hAnsi="Arial" w:cs="Arial"/>
                <w:sz w:val="22"/>
              </w:rPr>
              <w:t>o</w:t>
            </w:r>
            <w:r w:rsidRPr="008A1BDE">
              <w:rPr>
                <w:rFonts w:ascii="Arial" w:hAnsi="Arial" w:cs="Arial"/>
                <w:sz w:val="22"/>
              </w:rPr>
              <w:t xml:space="preserve">no cresciute di circa 222mila unità </w:t>
            </w:r>
            <w:r>
              <w:rPr>
                <w:rFonts w:ascii="Arial" w:hAnsi="Arial" w:cs="Arial"/>
                <w:sz w:val="22"/>
              </w:rPr>
              <w:t xml:space="preserve">(+13,5%) </w:t>
            </w:r>
            <w:r w:rsidRPr="008A1BDE">
              <w:rPr>
                <w:rFonts w:ascii="Arial" w:hAnsi="Arial" w:cs="Arial"/>
                <w:sz w:val="22"/>
              </w:rPr>
              <w:t>mentre le non occupate o occupate da non residenti sono aumentate di 151mila unità</w:t>
            </w:r>
            <w:r>
              <w:rPr>
                <w:rFonts w:ascii="Arial" w:hAnsi="Arial" w:cs="Arial"/>
                <w:sz w:val="22"/>
              </w:rPr>
              <w:t xml:space="preserve"> (+44,9%)</w:t>
            </w:r>
            <w:r w:rsidRPr="008A1BDE">
              <w:rPr>
                <w:rFonts w:ascii="Arial" w:hAnsi="Arial" w:cs="Arial"/>
                <w:sz w:val="22"/>
              </w:rPr>
              <w:t xml:space="preserve">. </w:t>
            </w:r>
          </w:p>
        </w:tc>
      </w:tr>
    </w:tbl>
    <w:p w:rsidR="00E1307D" w:rsidRDefault="00E1307D" w:rsidP="00767877">
      <w:pPr>
        <w:tabs>
          <w:tab w:val="left" w:pos="3765"/>
        </w:tabs>
        <w:jc w:val="both"/>
        <w:rPr>
          <w:noProof/>
        </w:rPr>
      </w:pPr>
    </w:p>
    <w:p w:rsidR="00617C8C" w:rsidRDefault="008A1BDE" w:rsidP="00F96DEF">
      <w:pPr>
        <w:jc w:val="center"/>
      </w:pPr>
      <w:bookmarkStart w:id="17" w:name="_Toc415751112"/>
      <w:r>
        <w:rPr>
          <w:noProof/>
        </w:rPr>
        <w:drawing>
          <wp:inline distT="0" distB="0" distL="0" distR="0" wp14:anchorId="16EEEA1A" wp14:editId="6697AAA7">
            <wp:extent cx="4210050" cy="2476500"/>
            <wp:effectExtent l="0" t="0" r="0" b="0"/>
            <wp:docPr id="318" name="Immagin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10050" cy="2476500"/>
                    </a:xfrm>
                    <a:prstGeom prst="rect">
                      <a:avLst/>
                    </a:prstGeom>
                    <a:noFill/>
                    <a:ln>
                      <a:noFill/>
                    </a:ln>
                  </pic:spPr>
                </pic:pic>
              </a:graphicData>
            </a:graphic>
          </wp:inline>
        </w:drawing>
      </w:r>
    </w:p>
    <w:p w:rsidR="005E467B" w:rsidRDefault="005E467B" w:rsidP="00A467E7">
      <w:pPr>
        <w:suppressAutoHyphens/>
        <w:spacing w:after="120"/>
        <w:rPr>
          <w:rFonts w:ascii="Arial" w:hAnsi="Arial" w:cs="Arial"/>
          <w:b/>
          <w:color w:val="000080"/>
          <w:szCs w:val="18"/>
        </w:rPr>
      </w:pPr>
      <w:bookmarkStart w:id="18" w:name="_Toc296961536"/>
      <w:bookmarkStart w:id="19" w:name="_Toc311014030"/>
      <w:bookmarkEnd w:id="4"/>
      <w:bookmarkEnd w:id="17"/>
    </w:p>
    <w:tbl>
      <w:tblPr>
        <w:tblW w:w="8719" w:type="dxa"/>
        <w:jc w:val="center"/>
        <w:tblInd w:w="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7051"/>
      </w:tblGrid>
      <w:tr w:rsidR="008A1BDE" w:rsidTr="00A16BCD">
        <w:trPr>
          <w:jc w:val="center"/>
        </w:trPr>
        <w:tc>
          <w:tcPr>
            <w:tcW w:w="1668" w:type="dxa"/>
            <w:tcBorders>
              <w:top w:val="nil"/>
              <w:left w:val="nil"/>
              <w:bottom w:val="nil"/>
              <w:right w:val="nil"/>
            </w:tcBorders>
          </w:tcPr>
          <w:p w:rsidR="008A1BDE" w:rsidRPr="00A93677" w:rsidRDefault="008A1BDE" w:rsidP="00A16BCD">
            <w:pPr>
              <w:suppressAutoHyphens/>
              <w:rPr>
                <w:rFonts w:ascii="Arial" w:hAnsi="Arial" w:cs="Arial"/>
                <w:b/>
                <w:color w:val="000080"/>
              </w:rPr>
            </w:pPr>
          </w:p>
        </w:tc>
        <w:tc>
          <w:tcPr>
            <w:tcW w:w="7051" w:type="dxa"/>
            <w:tcBorders>
              <w:top w:val="nil"/>
              <w:left w:val="nil"/>
              <w:bottom w:val="nil"/>
              <w:right w:val="nil"/>
            </w:tcBorders>
          </w:tcPr>
          <w:p w:rsidR="008A1BDE" w:rsidRPr="00816A8D" w:rsidRDefault="008A1BDE" w:rsidP="00A16BCD">
            <w:pPr>
              <w:tabs>
                <w:tab w:val="left" w:pos="3765"/>
              </w:tabs>
              <w:spacing w:after="120"/>
              <w:jc w:val="both"/>
              <w:rPr>
                <w:rFonts w:ascii="Arial" w:hAnsi="Arial" w:cs="Arial"/>
                <w:sz w:val="22"/>
                <w:szCs w:val="24"/>
              </w:rPr>
            </w:pPr>
            <w:r w:rsidRPr="008A1BDE">
              <w:rPr>
                <w:rFonts w:ascii="Arial" w:hAnsi="Arial" w:cs="Arial"/>
                <w:sz w:val="22"/>
              </w:rPr>
              <w:t>Rispetto alla vetustà del patrimonio abitativo in Emilia-Romagna si evidenzia che oltre la metà (il 52,4%) delle abitazioni, pari a 1,2 mili</w:t>
            </w:r>
            <w:r w:rsidRPr="008A1BDE">
              <w:rPr>
                <w:rFonts w:ascii="Arial" w:hAnsi="Arial" w:cs="Arial"/>
                <w:sz w:val="22"/>
              </w:rPr>
              <w:t>o</w:t>
            </w:r>
            <w:r w:rsidRPr="008A1BDE">
              <w:rPr>
                <w:rFonts w:ascii="Arial" w:hAnsi="Arial" w:cs="Arial"/>
                <w:sz w:val="22"/>
              </w:rPr>
              <w:t>ni di unità, ha più di 40 anni (essendo stato costruito prima del 1970); quasi il 30% è stato edificato nel ventennio successivo (1971-1990) e l’ 8,1% nel periodo 1991-2000. Tra il 2001 e il 2011 è stato edificato il restante 10,7% del patrimonio abitativo</w:t>
            </w:r>
            <w:r>
              <w:rPr>
                <w:rFonts w:ascii="Arial" w:hAnsi="Arial" w:cs="Arial"/>
                <w:sz w:val="22"/>
              </w:rPr>
              <w:t>.</w:t>
            </w:r>
          </w:p>
        </w:tc>
      </w:tr>
    </w:tbl>
    <w:p w:rsidR="008A1BDE" w:rsidRDefault="008A1BDE" w:rsidP="00A467E7">
      <w:pPr>
        <w:suppressAutoHyphens/>
        <w:spacing w:after="120"/>
        <w:rPr>
          <w:rFonts w:ascii="Arial" w:hAnsi="Arial" w:cs="Arial"/>
          <w:b/>
          <w:color w:val="000080"/>
          <w:szCs w:val="18"/>
        </w:rPr>
      </w:pPr>
      <w:r>
        <w:rPr>
          <w:rFonts w:ascii="Arial" w:hAnsi="Arial" w:cs="Arial"/>
          <w:b/>
          <w:noProof/>
          <w:color w:val="000080"/>
          <w:szCs w:val="18"/>
        </w:rPr>
        <w:drawing>
          <wp:anchor distT="0" distB="0" distL="114300" distR="114300" simplePos="0" relativeHeight="253202432" behindDoc="0" locked="0" layoutInCell="1" allowOverlap="1" wp14:anchorId="637AC63F" wp14:editId="78144935">
            <wp:simplePos x="0" y="0"/>
            <wp:positionH relativeFrom="column">
              <wp:posOffset>1548765</wp:posOffset>
            </wp:positionH>
            <wp:positionV relativeFrom="paragraph">
              <wp:posOffset>48260</wp:posOffset>
            </wp:positionV>
            <wp:extent cx="2856230" cy="2914650"/>
            <wp:effectExtent l="0" t="0" r="0" b="0"/>
            <wp:wrapSquare wrapText="bothSides"/>
            <wp:docPr id="704" name="Immagin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6230"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1BDE" w:rsidRDefault="008A1BDE" w:rsidP="00A467E7">
      <w:pPr>
        <w:suppressAutoHyphens/>
        <w:spacing w:after="120"/>
        <w:rPr>
          <w:rFonts w:ascii="Arial" w:hAnsi="Arial" w:cs="Arial"/>
          <w:b/>
          <w:color w:val="000080"/>
          <w:szCs w:val="18"/>
        </w:rPr>
      </w:pPr>
    </w:p>
    <w:p w:rsidR="008A1BDE" w:rsidRDefault="008A1BDE" w:rsidP="00A467E7">
      <w:pPr>
        <w:suppressAutoHyphens/>
        <w:spacing w:after="120"/>
        <w:rPr>
          <w:rFonts w:ascii="Arial" w:hAnsi="Arial" w:cs="Arial"/>
          <w:b/>
          <w:color w:val="000080"/>
          <w:szCs w:val="18"/>
        </w:rPr>
      </w:pPr>
    </w:p>
    <w:p w:rsidR="008A1BDE" w:rsidRDefault="008A1BDE" w:rsidP="00A467E7">
      <w:pPr>
        <w:suppressAutoHyphens/>
        <w:spacing w:after="120"/>
        <w:rPr>
          <w:rFonts w:ascii="Arial" w:hAnsi="Arial" w:cs="Arial"/>
          <w:b/>
          <w:color w:val="000080"/>
          <w:szCs w:val="18"/>
        </w:rPr>
      </w:pPr>
    </w:p>
    <w:p w:rsidR="008A1BDE" w:rsidRDefault="008A1BDE" w:rsidP="00A467E7">
      <w:pPr>
        <w:suppressAutoHyphens/>
        <w:spacing w:after="120"/>
        <w:rPr>
          <w:rFonts w:ascii="Arial" w:hAnsi="Arial" w:cs="Arial"/>
          <w:b/>
          <w:color w:val="000080"/>
          <w:szCs w:val="18"/>
        </w:rPr>
      </w:pPr>
    </w:p>
    <w:p w:rsidR="008A1BDE" w:rsidRDefault="008A1BDE" w:rsidP="00A467E7">
      <w:pPr>
        <w:suppressAutoHyphens/>
        <w:spacing w:after="120"/>
        <w:rPr>
          <w:rFonts w:ascii="Arial" w:hAnsi="Arial" w:cs="Arial"/>
          <w:b/>
          <w:color w:val="000080"/>
          <w:szCs w:val="18"/>
        </w:rPr>
      </w:pPr>
    </w:p>
    <w:p w:rsidR="008A1BDE" w:rsidRDefault="008A1BDE" w:rsidP="00A467E7">
      <w:pPr>
        <w:suppressAutoHyphens/>
        <w:spacing w:after="120"/>
        <w:rPr>
          <w:rFonts w:ascii="Arial" w:hAnsi="Arial" w:cs="Arial"/>
          <w:b/>
          <w:color w:val="000080"/>
          <w:szCs w:val="18"/>
        </w:rPr>
      </w:pPr>
    </w:p>
    <w:p w:rsidR="008A1BDE" w:rsidRDefault="008A1BDE" w:rsidP="00A467E7">
      <w:pPr>
        <w:suppressAutoHyphens/>
        <w:spacing w:after="120"/>
        <w:rPr>
          <w:rFonts w:ascii="Arial" w:hAnsi="Arial" w:cs="Arial"/>
          <w:b/>
          <w:color w:val="000080"/>
          <w:szCs w:val="18"/>
        </w:rPr>
      </w:pPr>
    </w:p>
    <w:p w:rsidR="008A1BDE" w:rsidRDefault="008A1BDE" w:rsidP="00A467E7">
      <w:pPr>
        <w:suppressAutoHyphens/>
        <w:spacing w:after="120"/>
        <w:rPr>
          <w:rFonts w:ascii="Arial" w:hAnsi="Arial" w:cs="Arial"/>
          <w:b/>
          <w:color w:val="000080"/>
          <w:szCs w:val="18"/>
        </w:rPr>
      </w:pPr>
    </w:p>
    <w:p w:rsidR="008A1BDE" w:rsidRDefault="008A1BDE" w:rsidP="00A467E7">
      <w:pPr>
        <w:suppressAutoHyphens/>
        <w:spacing w:after="120"/>
        <w:rPr>
          <w:rFonts w:ascii="Arial" w:hAnsi="Arial" w:cs="Arial"/>
          <w:b/>
          <w:color w:val="000080"/>
          <w:szCs w:val="18"/>
        </w:rPr>
      </w:pPr>
    </w:p>
    <w:p w:rsidR="008A1BDE" w:rsidRDefault="008A1BDE" w:rsidP="00A467E7">
      <w:pPr>
        <w:suppressAutoHyphens/>
        <w:spacing w:after="120"/>
        <w:rPr>
          <w:rFonts w:ascii="Arial" w:hAnsi="Arial" w:cs="Arial"/>
          <w:b/>
          <w:color w:val="000080"/>
          <w:szCs w:val="18"/>
        </w:rPr>
      </w:pPr>
    </w:p>
    <w:p w:rsidR="008A1BDE" w:rsidRDefault="008A1BDE" w:rsidP="00A467E7">
      <w:pPr>
        <w:suppressAutoHyphens/>
        <w:spacing w:after="120"/>
        <w:rPr>
          <w:rFonts w:ascii="Arial" w:hAnsi="Arial" w:cs="Arial"/>
          <w:b/>
          <w:color w:val="000080"/>
          <w:szCs w:val="18"/>
        </w:rPr>
      </w:pPr>
    </w:p>
    <w:p w:rsidR="008A1BDE" w:rsidRDefault="008A1BDE" w:rsidP="00A467E7">
      <w:pPr>
        <w:suppressAutoHyphens/>
        <w:spacing w:after="120"/>
        <w:rPr>
          <w:rFonts w:ascii="Arial" w:hAnsi="Arial" w:cs="Arial"/>
          <w:b/>
          <w:color w:val="000080"/>
          <w:szCs w:val="18"/>
        </w:rPr>
      </w:pPr>
    </w:p>
    <w:p w:rsidR="008A1BDE" w:rsidRDefault="008A1BDE" w:rsidP="00A467E7">
      <w:pPr>
        <w:suppressAutoHyphens/>
        <w:spacing w:after="120"/>
        <w:rPr>
          <w:rFonts w:ascii="Arial" w:hAnsi="Arial" w:cs="Arial"/>
          <w:b/>
          <w:color w:val="000080"/>
          <w:szCs w:val="18"/>
        </w:rPr>
      </w:pPr>
    </w:p>
    <w:p w:rsidR="008A1BDE" w:rsidRDefault="008A1BDE" w:rsidP="00A467E7">
      <w:pPr>
        <w:suppressAutoHyphens/>
        <w:spacing w:after="120"/>
        <w:rPr>
          <w:rFonts w:ascii="Arial" w:hAnsi="Arial" w:cs="Arial"/>
          <w:b/>
          <w:color w:val="000080"/>
          <w:szCs w:val="18"/>
        </w:rPr>
      </w:pPr>
    </w:p>
    <w:p w:rsidR="00256DCA" w:rsidRPr="002B3085" w:rsidRDefault="00256DCA" w:rsidP="00256DCA">
      <w:pPr>
        <w:suppressAutoHyphens/>
        <w:spacing w:after="240"/>
        <w:ind w:right="-143"/>
        <w:outlineLvl w:val="0"/>
        <w:rPr>
          <w:rFonts w:ascii="Arial" w:hAnsi="Arial" w:cs="Arial"/>
          <w:b/>
          <w:bCs/>
          <w:smallCaps/>
          <w:noProof/>
          <w:color w:val="000080"/>
          <w:sz w:val="24"/>
          <w:szCs w:val="24"/>
        </w:rPr>
      </w:pPr>
      <w:bookmarkStart w:id="20" w:name="_Toc420593432"/>
      <w:bookmarkStart w:id="21" w:name="_Toc421177345"/>
      <w:r w:rsidRPr="002B3085">
        <w:rPr>
          <w:rFonts w:ascii="Arial" w:hAnsi="Arial" w:cs="Arial"/>
          <w:b/>
          <w:bCs/>
          <w:smallCaps/>
          <w:noProof/>
          <w:color w:val="000080"/>
          <w:sz w:val="24"/>
          <w:szCs w:val="24"/>
        </w:rPr>
        <w:t>La questione infrastrutturale</w:t>
      </w:r>
      <w:bookmarkEnd w:id="20"/>
      <w:bookmarkEnd w:id="21"/>
    </w:p>
    <w:tbl>
      <w:tblPr>
        <w:tblW w:w="8806" w:type="dxa"/>
        <w:jc w:val="center"/>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7"/>
        <w:gridCol w:w="7099"/>
      </w:tblGrid>
      <w:tr w:rsidR="00256DCA" w:rsidRPr="002B3085" w:rsidTr="00A16BCD">
        <w:trPr>
          <w:jc w:val="center"/>
        </w:trPr>
        <w:tc>
          <w:tcPr>
            <w:tcW w:w="1707" w:type="dxa"/>
            <w:tcBorders>
              <w:top w:val="nil"/>
              <w:left w:val="nil"/>
              <w:bottom w:val="nil"/>
              <w:right w:val="nil"/>
            </w:tcBorders>
          </w:tcPr>
          <w:p w:rsidR="00256DCA" w:rsidRPr="002B3085" w:rsidRDefault="00256DCA" w:rsidP="00A16BCD">
            <w:pPr>
              <w:suppressAutoHyphens/>
              <w:spacing w:after="120"/>
              <w:rPr>
                <w:rFonts w:ascii="Arial" w:hAnsi="Arial" w:cs="Arial"/>
                <w:b/>
                <w:color w:val="000080"/>
              </w:rPr>
            </w:pPr>
          </w:p>
        </w:tc>
        <w:tc>
          <w:tcPr>
            <w:tcW w:w="7099" w:type="dxa"/>
            <w:tcBorders>
              <w:top w:val="nil"/>
              <w:left w:val="nil"/>
              <w:bottom w:val="nil"/>
              <w:right w:val="nil"/>
            </w:tcBorders>
          </w:tcPr>
          <w:p w:rsidR="00256DCA" w:rsidRPr="00256DCA" w:rsidRDefault="00256DCA" w:rsidP="00A16BCD">
            <w:pPr>
              <w:spacing w:after="100"/>
              <w:jc w:val="both"/>
              <w:rPr>
                <w:rFonts w:ascii="Arial" w:hAnsi="Arial" w:cs="Arial"/>
                <w:sz w:val="22"/>
                <w:szCs w:val="24"/>
              </w:rPr>
            </w:pPr>
            <w:r w:rsidRPr="00256DCA">
              <w:rPr>
                <w:rFonts w:ascii="Arial" w:hAnsi="Arial" w:cs="Arial"/>
                <w:sz w:val="22"/>
                <w:szCs w:val="24"/>
              </w:rPr>
              <w:t>Per dare avvio alla ripresa del settore delle costruzioni è necessario un impegno concreto per il rilancio delle opere pubbliche.</w:t>
            </w:r>
          </w:p>
          <w:p w:rsidR="00256DCA" w:rsidRPr="00256DCA" w:rsidRDefault="00256DCA" w:rsidP="00A16BCD">
            <w:pPr>
              <w:spacing w:after="100"/>
              <w:jc w:val="both"/>
              <w:rPr>
                <w:rFonts w:ascii="Arial" w:hAnsi="Arial" w:cs="Arial"/>
                <w:sz w:val="22"/>
                <w:szCs w:val="24"/>
              </w:rPr>
            </w:pPr>
            <w:r w:rsidRPr="00256DCA">
              <w:rPr>
                <w:rFonts w:ascii="Arial" w:hAnsi="Arial" w:cs="Arial"/>
                <w:sz w:val="22"/>
                <w:szCs w:val="24"/>
              </w:rPr>
              <w:t xml:space="preserve">Occorre, in primo luogo, un </w:t>
            </w:r>
            <w:r w:rsidRPr="00256DCA">
              <w:rPr>
                <w:rFonts w:ascii="Arial" w:hAnsi="Arial" w:cs="Arial"/>
                <w:b/>
                <w:sz w:val="22"/>
                <w:szCs w:val="24"/>
              </w:rPr>
              <w:t>cambiamento radicale nella politica i</w:t>
            </w:r>
            <w:r w:rsidRPr="00256DCA">
              <w:rPr>
                <w:rFonts w:ascii="Arial" w:hAnsi="Arial" w:cs="Arial"/>
                <w:b/>
                <w:sz w:val="22"/>
                <w:szCs w:val="24"/>
              </w:rPr>
              <w:t>n</w:t>
            </w:r>
            <w:r w:rsidRPr="00256DCA">
              <w:rPr>
                <w:rFonts w:ascii="Arial" w:hAnsi="Arial" w:cs="Arial"/>
                <w:b/>
                <w:sz w:val="22"/>
                <w:szCs w:val="24"/>
              </w:rPr>
              <w:t>frastrutturale</w:t>
            </w:r>
            <w:r w:rsidRPr="00256DCA">
              <w:rPr>
                <w:rFonts w:ascii="Arial" w:hAnsi="Arial" w:cs="Arial"/>
                <w:sz w:val="22"/>
                <w:szCs w:val="24"/>
              </w:rPr>
              <w:t>; un cambiamento che deve consentire di passare con rapidità ed efficacia dalla decisione di investimento all’effettivo utilizzo delle risorse in modo da permettere il progressivo recupero del gap i</w:t>
            </w:r>
            <w:r w:rsidRPr="00256DCA">
              <w:rPr>
                <w:rFonts w:ascii="Arial" w:hAnsi="Arial" w:cs="Arial"/>
                <w:sz w:val="22"/>
                <w:szCs w:val="24"/>
              </w:rPr>
              <w:t>n</w:t>
            </w:r>
            <w:r w:rsidRPr="00256DCA">
              <w:rPr>
                <w:rFonts w:ascii="Arial" w:hAnsi="Arial" w:cs="Arial"/>
                <w:sz w:val="22"/>
                <w:szCs w:val="24"/>
              </w:rPr>
              <w:t>frastrutturale italiano, migliorare la qualità della vita dei cittadini e inc</w:t>
            </w:r>
            <w:r w:rsidRPr="00256DCA">
              <w:rPr>
                <w:rFonts w:ascii="Arial" w:hAnsi="Arial" w:cs="Arial"/>
                <w:sz w:val="22"/>
                <w:szCs w:val="24"/>
              </w:rPr>
              <w:t>i</w:t>
            </w:r>
            <w:r w:rsidRPr="00256DCA">
              <w:rPr>
                <w:rFonts w:ascii="Arial" w:hAnsi="Arial" w:cs="Arial"/>
                <w:sz w:val="22"/>
                <w:szCs w:val="24"/>
              </w:rPr>
              <w:t>dere positivamente sulla ripresa del settore delle costruzioni e di tutta l’economia.</w:t>
            </w:r>
          </w:p>
          <w:p w:rsidR="00256DCA" w:rsidRPr="00256DCA" w:rsidRDefault="00256DCA" w:rsidP="00A16BCD">
            <w:pPr>
              <w:spacing w:after="100"/>
              <w:jc w:val="both"/>
              <w:rPr>
                <w:rFonts w:ascii="Arial" w:hAnsi="Arial" w:cs="Arial"/>
                <w:sz w:val="22"/>
                <w:szCs w:val="24"/>
              </w:rPr>
            </w:pPr>
            <w:r w:rsidRPr="00256DCA">
              <w:rPr>
                <w:rFonts w:ascii="Arial" w:hAnsi="Arial" w:cs="Arial"/>
                <w:sz w:val="22"/>
                <w:szCs w:val="24"/>
              </w:rPr>
              <w:t>Purtroppo le ultime misure adottate non sembrano andare in tale dir</w:t>
            </w:r>
            <w:r w:rsidRPr="00256DCA">
              <w:rPr>
                <w:rFonts w:ascii="Arial" w:hAnsi="Arial" w:cs="Arial"/>
                <w:sz w:val="22"/>
                <w:szCs w:val="24"/>
              </w:rPr>
              <w:t>e</w:t>
            </w:r>
            <w:r w:rsidRPr="00256DCA">
              <w:rPr>
                <w:rFonts w:ascii="Arial" w:hAnsi="Arial" w:cs="Arial"/>
                <w:sz w:val="22"/>
                <w:szCs w:val="24"/>
              </w:rPr>
              <w:t>zione</w:t>
            </w:r>
          </w:p>
        </w:tc>
      </w:tr>
      <w:tr w:rsidR="00256DCA" w:rsidRPr="002B3085" w:rsidTr="00A16BCD">
        <w:trPr>
          <w:jc w:val="center"/>
        </w:trPr>
        <w:tc>
          <w:tcPr>
            <w:tcW w:w="1707" w:type="dxa"/>
            <w:tcBorders>
              <w:top w:val="nil"/>
              <w:left w:val="nil"/>
              <w:bottom w:val="nil"/>
              <w:right w:val="nil"/>
            </w:tcBorders>
          </w:tcPr>
          <w:p w:rsidR="00256DCA" w:rsidRPr="002B3085" w:rsidRDefault="00256DCA" w:rsidP="00A16BCD">
            <w:pPr>
              <w:suppressAutoHyphens/>
              <w:spacing w:after="120"/>
              <w:rPr>
                <w:rFonts w:ascii="Arial" w:hAnsi="Arial" w:cs="Arial"/>
                <w:b/>
                <w:color w:val="000080"/>
              </w:rPr>
            </w:pPr>
            <w:r w:rsidRPr="002B3085">
              <w:rPr>
                <w:rFonts w:ascii="Arial" w:hAnsi="Arial" w:cs="Arial"/>
                <w:b/>
                <w:color w:val="000080"/>
              </w:rPr>
              <w:t>Il DL Sblocca Italia</w:t>
            </w:r>
          </w:p>
        </w:tc>
        <w:tc>
          <w:tcPr>
            <w:tcW w:w="7099" w:type="dxa"/>
            <w:tcBorders>
              <w:top w:val="nil"/>
              <w:left w:val="nil"/>
              <w:bottom w:val="nil"/>
              <w:right w:val="nil"/>
            </w:tcBorders>
          </w:tcPr>
          <w:p w:rsidR="00256DCA" w:rsidRPr="00256DCA" w:rsidRDefault="00256DCA" w:rsidP="00A16BCD">
            <w:pPr>
              <w:spacing w:after="100"/>
              <w:jc w:val="both"/>
              <w:rPr>
                <w:rFonts w:ascii="Arial" w:hAnsi="Arial" w:cs="Arial"/>
                <w:sz w:val="22"/>
                <w:szCs w:val="24"/>
              </w:rPr>
            </w:pPr>
            <w:r w:rsidRPr="00256DCA">
              <w:rPr>
                <w:rFonts w:ascii="Arial" w:hAnsi="Arial" w:cs="Arial"/>
                <w:b/>
                <w:sz w:val="22"/>
                <w:szCs w:val="24"/>
              </w:rPr>
              <w:t>Il Decreto Legge “Sblocca Italia”,</w:t>
            </w:r>
            <w:r w:rsidRPr="00256DCA">
              <w:rPr>
                <w:rFonts w:ascii="Arial" w:hAnsi="Arial" w:cs="Arial"/>
                <w:sz w:val="22"/>
                <w:szCs w:val="24"/>
              </w:rPr>
              <w:t xml:space="preserve"> nonostante l’attenzione che ha posto al settore delle costruzioni, ha mostrato, fin da subito, alcuni l</w:t>
            </w:r>
            <w:r w:rsidRPr="00256DCA">
              <w:rPr>
                <w:rFonts w:ascii="Arial" w:hAnsi="Arial" w:cs="Arial"/>
                <w:sz w:val="22"/>
                <w:szCs w:val="24"/>
              </w:rPr>
              <w:t>i</w:t>
            </w:r>
            <w:r w:rsidRPr="00256DCA">
              <w:rPr>
                <w:rFonts w:ascii="Arial" w:hAnsi="Arial" w:cs="Arial"/>
                <w:sz w:val="22"/>
                <w:szCs w:val="24"/>
              </w:rPr>
              <w:t>miti relativi, soprattutto, al profilo temporale eccessivamente lungo de</w:t>
            </w:r>
            <w:r w:rsidRPr="00256DCA">
              <w:rPr>
                <w:rFonts w:ascii="Arial" w:hAnsi="Arial" w:cs="Arial"/>
                <w:sz w:val="22"/>
                <w:szCs w:val="24"/>
              </w:rPr>
              <w:t>l</w:t>
            </w:r>
            <w:r w:rsidRPr="00256DCA">
              <w:rPr>
                <w:rFonts w:ascii="Arial" w:hAnsi="Arial" w:cs="Arial"/>
                <w:sz w:val="22"/>
                <w:szCs w:val="24"/>
              </w:rPr>
              <w:t>le risorse messe a disposizione per le infrastrutture, che appariva i</w:t>
            </w:r>
            <w:r w:rsidRPr="00256DCA">
              <w:rPr>
                <w:rFonts w:ascii="Arial" w:hAnsi="Arial" w:cs="Arial"/>
                <w:sz w:val="22"/>
                <w:szCs w:val="24"/>
              </w:rPr>
              <w:t>n</w:t>
            </w:r>
            <w:r w:rsidRPr="00256DCA">
              <w:rPr>
                <w:rFonts w:ascii="Arial" w:hAnsi="Arial" w:cs="Arial"/>
                <w:sz w:val="22"/>
                <w:szCs w:val="24"/>
              </w:rPr>
              <w:t xml:space="preserve">compatibile con l’esigenza di imprimere un impatto immediato sull’economia. Basti considerare che </w:t>
            </w:r>
            <w:r w:rsidRPr="00256DCA">
              <w:rPr>
                <w:rFonts w:ascii="Arial" w:hAnsi="Arial" w:cs="Arial"/>
                <w:b/>
                <w:sz w:val="22"/>
                <w:szCs w:val="24"/>
              </w:rPr>
              <w:t>l’88% dei 3.890 milioni destin</w:t>
            </w:r>
            <w:r w:rsidRPr="00256DCA">
              <w:rPr>
                <w:rFonts w:ascii="Arial" w:hAnsi="Arial" w:cs="Arial"/>
                <w:b/>
                <w:sz w:val="22"/>
                <w:szCs w:val="24"/>
              </w:rPr>
              <w:t>a</w:t>
            </w:r>
            <w:r w:rsidRPr="00256DCA">
              <w:rPr>
                <w:rFonts w:ascii="Arial" w:hAnsi="Arial" w:cs="Arial"/>
                <w:b/>
                <w:sz w:val="22"/>
                <w:szCs w:val="24"/>
              </w:rPr>
              <w:t>ti a opere pubbliche sarà disponibile dal 2017 in poi.</w:t>
            </w:r>
            <w:r w:rsidRPr="00256DCA">
              <w:rPr>
                <w:rFonts w:ascii="Arial" w:hAnsi="Arial" w:cs="Arial"/>
                <w:sz w:val="22"/>
                <w:szCs w:val="24"/>
              </w:rPr>
              <w:t xml:space="preserve"> </w:t>
            </w:r>
          </w:p>
          <w:p w:rsidR="00256DCA" w:rsidRPr="00256DCA" w:rsidRDefault="00256DCA" w:rsidP="00A16BCD">
            <w:pPr>
              <w:spacing w:after="60"/>
              <w:jc w:val="both"/>
              <w:rPr>
                <w:rFonts w:ascii="Arial" w:hAnsi="Arial" w:cs="Arial"/>
                <w:sz w:val="22"/>
                <w:szCs w:val="24"/>
              </w:rPr>
            </w:pPr>
            <w:r w:rsidRPr="00256DCA">
              <w:rPr>
                <w:rFonts w:ascii="Arial" w:hAnsi="Arial" w:cs="Arial"/>
                <w:sz w:val="22"/>
                <w:szCs w:val="24"/>
              </w:rPr>
              <w:t xml:space="preserve">In particolare il decreto prevede il finanziamento di </w:t>
            </w:r>
            <w:r w:rsidRPr="00256DCA">
              <w:rPr>
                <w:rFonts w:ascii="Arial" w:hAnsi="Arial" w:cs="Arial"/>
                <w:b/>
                <w:sz w:val="22"/>
                <w:szCs w:val="24"/>
              </w:rPr>
              <w:t>opere medio pi</w:t>
            </w:r>
            <w:r w:rsidRPr="00256DCA">
              <w:rPr>
                <w:rFonts w:ascii="Arial" w:hAnsi="Arial" w:cs="Arial"/>
                <w:b/>
                <w:sz w:val="22"/>
                <w:szCs w:val="24"/>
              </w:rPr>
              <w:t>c</w:t>
            </w:r>
            <w:r w:rsidRPr="00256DCA">
              <w:rPr>
                <w:rFonts w:ascii="Arial" w:hAnsi="Arial" w:cs="Arial"/>
                <w:b/>
                <w:sz w:val="22"/>
                <w:szCs w:val="24"/>
              </w:rPr>
              <w:t>cole di competenza dei  Comuni</w:t>
            </w:r>
            <w:r w:rsidRPr="00256DCA">
              <w:rPr>
                <w:rFonts w:ascii="Arial" w:hAnsi="Arial" w:cs="Arial"/>
                <w:sz w:val="22"/>
                <w:szCs w:val="24"/>
              </w:rPr>
              <w:t>, per 500 milioni di euro su tutto il territorio nazionale, riparti con il Decreto interministeriale MIIT-MEF del 28 gennaio 2015:</w:t>
            </w:r>
          </w:p>
          <w:p w:rsidR="00256DCA" w:rsidRPr="00256DCA" w:rsidRDefault="00256DCA" w:rsidP="00256DCA">
            <w:pPr>
              <w:numPr>
                <w:ilvl w:val="0"/>
                <w:numId w:val="30"/>
              </w:numPr>
              <w:spacing w:after="100"/>
              <w:jc w:val="both"/>
              <w:rPr>
                <w:rFonts w:ascii="Arial" w:hAnsi="Arial" w:cs="Arial"/>
                <w:b/>
                <w:sz w:val="22"/>
                <w:szCs w:val="24"/>
              </w:rPr>
            </w:pPr>
            <w:r w:rsidRPr="00256DCA">
              <w:rPr>
                <w:rFonts w:ascii="Arial" w:hAnsi="Arial" w:cs="Arial"/>
                <w:sz w:val="22"/>
                <w:szCs w:val="24"/>
              </w:rPr>
              <w:t xml:space="preserve">100 milioni per lo </w:t>
            </w:r>
            <w:r w:rsidRPr="00256DCA">
              <w:rPr>
                <w:rFonts w:ascii="Arial" w:hAnsi="Arial" w:cs="Arial"/>
                <w:b/>
                <w:sz w:val="22"/>
                <w:szCs w:val="24"/>
              </w:rPr>
              <w:t>scorrimento in graduatoria del “progra</w:t>
            </w:r>
            <w:r w:rsidRPr="00256DCA">
              <w:rPr>
                <w:rFonts w:ascii="Arial" w:hAnsi="Arial" w:cs="Arial"/>
                <w:b/>
                <w:sz w:val="22"/>
                <w:szCs w:val="24"/>
              </w:rPr>
              <w:t>m</w:t>
            </w:r>
            <w:r w:rsidRPr="00256DCA">
              <w:rPr>
                <w:rFonts w:ascii="Arial" w:hAnsi="Arial" w:cs="Arial"/>
                <w:b/>
                <w:sz w:val="22"/>
                <w:szCs w:val="24"/>
              </w:rPr>
              <w:t>ma 6000 campanili”</w:t>
            </w:r>
            <w:r w:rsidRPr="00256DCA">
              <w:rPr>
                <w:rFonts w:ascii="Arial" w:hAnsi="Arial" w:cs="Arial"/>
                <w:sz w:val="22"/>
                <w:szCs w:val="24"/>
              </w:rPr>
              <w:t xml:space="preserve"> che hanno finanziato 119 interventi di cui </w:t>
            </w:r>
            <w:r w:rsidRPr="00256DCA">
              <w:rPr>
                <w:rFonts w:ascii="Arial" w:hAnsi="Arial" w:cs="Arial"/>
                <w:b/>
                <w:sz w:val="22"/>
                <w:szCs w:val="24"/>
              </w:rPr>
              <w:t>3 per 2,7 milioni di euro, localizzati in Emilia Romagna;</w:t>
            </w:r>
          </w:p>
          <w:p w:rsidR="00256DCA" w:rsidRPr="00256DCA" w:rsidRDefault="00256DCA" w:rsidP="00256DCA">
            <w:pPr>
              <w:numPr>
                <w:ilvl w:val="0"/>
                <w:numId w:val="30"/>
              </w:numPr>
              <w:spacing w:after="100"/>
              <w:jc w:val="both"/>
              <w:rPr>
                <w:rFonts w:ascii="Arial" w:hAnsi="Arial" w:cs="Arial"/>
                <w:sz w:val="22"/>
                <w:szCs w:val="24"/>
              </w:rPr>
            </w:pPr>
            <w:r w:rsidRPr="00256DCA">
              <w:rPr>
                <w:rFonts w:ascii="Arial" w:hAnsi="Arial" w:cs="Arial"/>
                <w:sz w:val="22"/>
                <w:szCs w:val="24"/>
              </w:rPr>
              <w:t>100 milioni per opere di competenza dei Provveditorati Interr</w:t>
            </w:r>
            <w:r w:rsidRPr="00256DCA">
              <w:rPr>
                <w:rFonts w:ascii="Arial" w:hAnsi="Arial" w:cs="Arial"/>
                <w:sz w:val="22"/>
                <w:szCs w:val="24"/>
              </w:rPr>
              <w:t>e</w:t>
            </w:r>
            <w:r w:rsidRPr="00256DCA">
              <w:rPr>
                <w:rFonts w:ascii="Arial" w:hAnsi="Arial" w:cs="Arial"/>
                <w:sz w:val="22"/>
                <w:szCs w:val="24"/>
              </w:rPr>
              <w:t>gionali per le Opere Pubbliche di completamento di beni i</w:t>
            </w:r>
            <w:r w:rsidRPr="00256DCA">
              <w:rPr>
                <w:rFonts w:ascii="Arial" w:hAnsi="Arial" w:cs="Arial"/>
                <w:sz w:val="22"/>
                <w:szCs w:val="24"/>
              </w:rPr>
              <w:t>m</w:t>
            </w:r>
            <w:r w:rsidRPr="00256DCA">
              <w:rPr>
                <w:rFonts w:ascii="Arial" w:hAnsi="Arial" w:cs="Arial"/>
                <w:sz w:val="22"/>
                <w:szCs w:val="24"/>
              </w:rPr>
              <w:t xml:space="preserve">mobiliari demaniali ed interventi urgenti in materia di dissesto idrogeologico di cui </w:t>
            </w:r>
            <w:r w:rsidRPr="00256DCA">
              <w:rPr>
                <w:rFonts w:ascii="Arial" w:hAnsi="Arial" w:cs="Arial"/>
                <w:b/>
                <w:sz w:val="22"/>
                <w:szCs w:val="24"/>
              </w:rPr>
              <w:t xml:space="preserve">3,6 milioni di euro relativi a 5 intervento in Emilia Romagna </w:t>
            </w:r>
            <w:r w:rsidRPr="00256DCA">
              <w:rPr>
                <w:rFonts w:ascii="Arial" w:hAnsi="Arial" w:cs="Arial"/>
                <w:sz w:val="22"/>
                <w:szCs w:val="24"/>
              </w:rPr>
              <w:t>;</w:t>
            </w:r>
          </w:p>
          <w:p w:rsidR="00256DCA" w:rsidRPr="00256DCA" w:rsidRDefault="00256DCA" w:rsidP="00256DCA">
            <w:pPr>
              <w:numPr>
                <w:ilvl w:val="0"/>
                <w:numId w:val="30"/>
              </w:numPr>
              <w:spacing w:after="100"/>
              <w:jc w:val="both"/>
              <w:rPr>
                <w:rFonts w:ascii="Arial" w:hAnsi="Arial" w:cs="Arial"/>
                <w:sz w:val="22"/>
                <w:szCs w:val="24"/>
              </w:rPr>
            </w:pPr>
            <w:r w:rsidRPr="00256DCA">
              <w:rPr>
                <w:rFonts w:ascii="Arial" w:hAnsi="Arial" w:cs="Arial"/>
                <w:sz w:val="22"/>
                <w:szCs w:val="24"/>
              </w:rPr>
              <w:t>100 milioni per “</w:t>
            </w:r>
            <w:r w:rsidRPr="00256DCA">
              <w:rPr>
                <w:rFonts w:ascii="Arial" w:hAnsi="Arial" w:cs="Arial"/>
                <w:b/>
                <w:sz w:val="22"/>
                <w:szCs w:val="24"/>
              </w:rPr>
              <w:t>nuovi progetti di interventi</w:t>
            </w:r>
            <w:r w:rsidRPr="00256DCA">
              <w:rPr>
                <w:rFonts w:ascii="Arial" w:hAnsi="Arial" w:cs="Arial"/>
                <w:sz w:val="22"/>
                <w:szCs w:val="24"/>
              </w:rPr>
              <w:t>” per i quali sono in corso le istruttorie per l’attribuzione dei finanziamenti.</w:t>
            </w:r>
            <w:r w:rsidRPr="00256DCA">
              <w:rPr>
                <w:rFonts w:ascii="Arial" w:hAnsi="Arial" w:cs="Arial"/>
                <w:b/>
                <w:sz w:val="22"/>
                <w:szCs w:val="24"/>
              </w:rPr>
              <w:t xml:space="preserve"> L’Emilia Romagna potrà contare su 5 milioni di euro</w:t>
            </w:r>
            <w:r w:rsidRPr="00256DCA">
              <w:rPr>
                <w:rFonts w:ascii="Arial" w:hAnsi="Arial" w:cs="Arial"/>
                <w:sz w:val="22"/>
                <w:szCs w:val="24"/>
              </w:rPr>
              <w:t>;</w:t>
            </w:r>
          </w:p>
          <w:p w:rsidR="00256DCA" w:rsidRPr="00256DCA" w:rsidRDefault="00256DCA" w:rsidP="00256DCA">
            <w:pPr>
              <w:numPr>
                <w:ilvl w:val="0"/>
                <w:numId w:val="30"/>
              </w:numPr>
              <w:spacing w:after="100"/>
              <w:jc w:val="both"/>
              <w:rPr>
                <w:rFonts w:ascii="Arial" w:hAnsi="Arial" w:cs="Arial"/>
                <w:sz w:val="22"/>
                <w:szCs w:val="24"/>
              </w:rPr>
            </w:pPr>
            <w:r w:rsidRPr="00256DCA">
              <w:rPr>
                <w:rFonts w:ascii="Arial" w:hAnsi="Arial" w:cs="Arial"/>
                <w:sz w:val="22"/>
                <w:szCs w:val="24"/>
              </w:rPr>
              <w:t>200 milioni per i cosiddetti “Cantieri in Comune”, ovvero le op</w:t>
            </w:r>
            <w:r w:rsidRPr="00256DCA">
              <w:rPr>
                <w:rFonts w:ascii="Arial" w:hAnsi="Arial" w:cs="Arial"/>
                <w:sz w:val="22"/>
                <w:szCs w:val="24"/>
              </w:rPr>
              <w:t>e</w:t>
            </w:r>
            <w:r w:rsidRPr="00256DCA">
              <w:rPr>
                <w:rFonts w:ascii="Arial" w:hAnsi="Arial" w:cs="Arial"/>
                <w:sz w:val="22"/>
                <w:szCs w:val="24"/>
              </w:rPr>
              <w:t>re segnalate dai Comuni alla Presidenza del Consiglio dei M</w:t>
            </w:r>
            <w:r w:rsidRPr="00256DCA">
              <w:rPr>
                <w:rFonts w:ascii="Arial" w:hAnsi="Arial" w:cs="Arial"/>
                <w:sz w:val="22"/>
                <w:szCs w:val="24"/>
              </w:rPr>
              <w:t>i</w:t>
            </w:r>
            <w:r w:rsidRPr="00256DCA">
              <w:rPr>
                <w:rFonts w:ascii="Arial" w:hAnsi="Arial" w:cs="Arial"/>
                <w:sz w:val="22"/>
                <w:szCs w:val="24"/>
              </w:rPr>
              <w:t xml:space="preserve">nistri dal 2 al 15 giugno 2014. Tali risorse sono state  ripartite dal </w:t>
            </w:r>
            <w:proofErr w:type="spellStart"/>
            <w:r w:rsidRPr="00256DCA">
              <w:rPr>
                <w:rFonts w:ascii="Arial" w:hAnsi="Arial" w:cs="Arial"/>
                <w:sz w:val="22"/>
                <w:szCs w:val="24"/>
              </w:rPr>
              <w:t>Cipe</w:t>
            </w:r>
            <w:proofErr w:type="spellEnd"/>
            <w:r w:rsidRPr="00256DCA">
              <w:rPr>
                <w:rFonts w:ascii="Arial" w:hAnsi="Arial" w:cs="Arial"/>
                <w:sz w:val="22"/>
                <w:szCs w:val="24"/>
              </w:rPr>
              <w:t xml:space="preserve"> il 10 aprile 2015 che ha individuato 137 interventi su tutto il territorio nazionale tra strutture per il turismo e il tempo libero, edifici scolastici, infrastrutture per la mobilità e il traspo</w:t>
            </w:r>
            <w:r w:rsidRPr="00256DCA">
              <w:rPr>
                <w:rFonts w:ascii="Arial" w:hAnsi="Arial" w:cs="Arial"/>
                <w:sz w:val="22"/>
                <w:szCs w:val="24"/>
              </w:rPr>
              <w:t>r</w:t>
            </w:r>
            <w:r w:rsidRPr="00256DCA">
              <w:rPr>
                <w:rFonts w:ascii="Arial" w:hAnsi="Arial" w:cs="Arial"/>
                <w:sz w:val="22"/>
                <w:szCs w:val="24"/>
              </w:rPr>
              <w:t xml:space="preserve">to, impianti sportivi, edifici pubblici e altro. </w:t>
            </w:r>
            <w:r w:rsidRPr="00256DCA">
              <w:rPr>
                <w:rFonts w:ascii="Arial" w:hAnsi="Arial" w:cs="Arial"/>
                <w:b/>
                <w:sz w:val="22"/>
                <w:szCs w:val="24"/>
              </w:rPr>
              <w:t>In Emilia Romagna sono stati finanziati 3 interventi per 2,8 milioni di euro.</w:t>
            </w:r>
          </w:p>
        </w:tc>
      </w:tr>
    </w:tbl>
    <w:p w:rsidR="00256DCA" w:rsidRPr="002B3085" w:rsidRDefault="00256DCA" w:rsidP="00256DCA">
      <w:pPr>
        <w:tabs>
          <w:tab w:val="left" w:pos="2277"/>
        </w:tabs>
        <w:spacing w:after="100"/>
        <w:ind w:left="268"/>
        <w:jc w:val="center"/>
        <w:rPr>
          <w:rFonts w:ascii="Arial" w:hAnsi="Arial" w:cs="Arial"/>
          <w:sz w:val="24"/>
          <w:szCs w:val="24"/>
        </w:rPr>
      </w:pPr>
      <w:r w:rsidRPr="002B3085">
        <w:rPr>
          <w:noProof/>
        </w:rPr>
        <w:drawing>
          <wp:inline distT="0" distB="0" distL="0" distR="0" wp14:anchorId="3D496CCA" wp14:editId="44DF6902">
            <wp:extent cx="3654854" cy="2305050"/>
            <wp:effectExtent l="0" t="0" r="317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9413" cy="2307925"/>
                    </a:xfrm>
                    <a:prstGeom prst="rect">
                      <a:avLst/>
                    </a:prstGeom>
                    <a:noFill/>
                    <a:ln>
                      <a:noFill/>
                    </a:ln>
                  </pic:spPr>
                </pic:pic>
              </a:graphicData>
            </a:graphic>
          </wp:inline>
        </w:drawing>
      </w:r>
    </w:p>
    <w:tbl>
      <w:tblPr>
        <w:tblW w:w="8806" w:type="dxa"/>
        <w:jc w:val="center"/>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7"/>
        <w:gridCol w:w="7099"/>
      </w:tblGrid>
      <w:tr w:rsidR="00256DCA" w:rsidRPr="002B3085" w:rsidTr="00A16BCD">
        <w:trPr>
          <w:jc w:val="center"/>
        </w:trPr>
        <w:tc>
          <w:tcPr>
            <w:tcW w:w="1707" w:type="dxa"/>
            <w:tcBorders>
              <w:top w:val="nil"/>
              <w:left w:val="nil"/>
              <w:bottom w:val="nil"/>
              <w:right w:val="nil"/>
            </w:tcBorders>
          </w:tcPr>
          <w:p w:rsidR="00256DCA" w:rsidRPr="002B3085" w:rsidRDefault="00256DCA" w:rsidP="00A16BCD">
            <w:pPr>
              <w:suppressAutoHyphens/>
              <w:spacing w:after="120"/>
              <w:rPr>
                <w:rFonts w:ascii="Arial" w:hAnsi="Arial" w:cs="Arial"/>
                <w:b/>
                <w:color w:val="000080"/>
              </w:rPr>
            </w:pPr>
          </w:p>
        </w:tc>
        <w:tc>
          <w:tcPr>
            <w:tcW w:w="7099" w:type="dxa"/>
            <w:tcBorders>
              <w:top w:val="nil"/>
              <w:left w:val="nil"/>
              <w:bottom w:val="nil"/>
              <w:right w:val="nil"/>
            </w:tcBorders>
          </w:tcPr>
          <w:p w:rsidR="00256DCA" w:rsidRPr="00256DCA" w:rsidRDefault="00256DCA" w:rsidP="00A16BCD">
            <w:pPr>
              <w:spacing w:after="100"/>
              <w:jc w:val="both"/>
              <w:rPr>
                <w:rFonts w:ascii="Arial" w:hAnsi="Arial" w:cs="Arial"/>
                <w:sz w:val="22"/>
                <w:szCs w:val="24"/>
              </w:rPr>
            </w:pPr>
            <w:r w:rsidRPr="00256DCA">
              <w:rPr>
                <w:rFonts w:ascii="Arial" w:hAnsi="Arial" w:cs="Arial"/>
                <w:sz w:val="22"/>
                <w:szCs w:val="24"/>
              </w:rPr>
              <w:t xml:space="preserve">Complessivamente </w:t>
            </w:r>
            <w:r w:rsidRPr="00256DCA">
              <w:rPr>
                <w:rFonts w:ascii="Arial" w:hAnsi="Arial" w:cs="Arial"/>
                <w:b/>
                <w:sz w:val="22"/>
                <w:szCs w:val="24"/>
              </w:rPr>
              <w:t>il Decreto Sblocca Italia prevede per la Regi</w:t>
            </w:r>
            <w:r w:rsidRPr="00256DCA">
              <w:rPr>
                <w:rFonts w:ascii="Arial" w:hAnsi="Arial" w:cs="Arial"/>
                <w:b/>
                <w:sz w:val="22"/>
                <w:szCs w:val="24"/>
              </w:rPr>
              <w:t>o</w:t>
            </w:r>
            <w:r w:rsidRPr="00256DCA">
              <w:rPr>
                <w:rFonts w:ascii="Arial" w:hAnsi="Arial" w:cs="Arial"/>
                <w:b/>
                <w:sz w:val="22"/>
                <w:szCs w:val="24"/>
              </w:rPr>
              <w:t>ne Emilia Romagna circa 14 milioni di euro</w:t>
            </w:r>
            <w:r w:rsidRPr="00256DCA">
              <w:rPr>
                <w:rFonts w:ascii="Arial" w:hAnsi="Arial" w:cs="Arial"/>
                <w:sz w:val="22"/>
                <w:szCs w:val="24"/>
              </w:rPr>
              <w:t xml:space="preserve"> con un profilo tempor</w:t>
            </w:r>
            <w:r w:rsidRPr="00256DCA">
              <w:rPr>
                <w:rFonts w:ascii="Arial" w:hAnsi="Arial" w:cs="Arial"/>
                <w:sz w:val="22"/>
                <w:szCs w:val="24"/>
              </w:rPr>
              <w:t>a</w:t>
            </w:r>
            <w:r w:rsidRPr="00256DCA">
              <w:rPr>
                <w:rFonts w:ascii="Arial" w:hAnsi="Arial" w:cs="Arial"/>
                <w:sz w:val="22"/>
                <w:szCs w:val="24"/>
              </w:rPr>
              <w:t xml:space="preserve">le che vede </w:t>
            </w:r>
            <w:r w:rsidRPr="00256DCA">
              <w:rPr>
                <w:rFonts w:ascii="Arial" w:hAnsi="Arial" w:cs="Arial"/>
                <w:b/>
                <w:sz w:val="22"/>
                <w:szCs w:val="24"/>
              </w:rPr>
              <w:t>la metà di tali risorse disponibile solo a partire dal 2017.</w:t>
            </w:r>
          </w:p>
        </w:tc>
      </w:tr>
      <w:tr w:rsidR="00256DCA" w:rsidRPr="002B3085" w:rsidTr="00A16BCD">
        <w:trPr>
          <w:jc w:val="center"/>
        </w:trPr>
        <w:tc>
          <w:tcPr>
            <w:tcW w:w="1707" w:type="dxa"/>
            <w:tcBorders>
              <w:top w:val="nil"/>
              <w:left w:val="nil"/>
              <w:bottom w:val="nil"/>
              <w:right w:val="nil"/>
            </w:tcBorders>
          </w:tcPr>
          <w:p w:rsidR="00256DCA" w:rsidRPr="002B3085" w:rsidRDefault="00256DCA" w:rsidP="00A16BCD">
            <w:pPr>
              <w:suppressAutoHyphens/>
              <w:spacing w:after="120"/>
              <w:rPr>
                <w:rFonts w:ascii="Arial" w:hAnsi="Arial" w:cs="Arial"/>
                <w:b/>
                <w:color w:val="000080"/>
              </w:rPr>
            </w:pPr>
            <w:r w:rsidRPr="002B3085">
              <w:rPr>
                <w:rFonts w:ascii="Arial" w:hAnsi="Arial" w:cs="Arial"/>
                <w:b/>
                <w:color w:val="000080"/>
              </w:rPr>
              <w:t>La Legge di stabilità per il 2015</w:t>
            </w:r>
          </w:p>
        </w:tc>
        <w:tc>
          <w:tcPr>
            <w:tcW w:w="7099" w:type="dxa"/>
            <w:tcBorders>
              <w:top w:val="nil"/>
              <w:left w:val="nil"/>
              <w:bottom w:val="nil"/>
              <w:right w:val="nil"/>
            </w:tcBorders>
          </w:tcPr>
          <w:p w:rsidR="00256DCA" w:rsidRPr="00256DCA" w:rsidRDefault="00256DCA" w:rsidP="00A16BCD">
            <w:pPr>
              <w:spacing w:after="100"/>
              <w:jc w:val="both"/>
              <w:rPr>
                <w:rFonts w:ascii="Arial" w:hAnsi="Arial" w:cs="Arial"/>
                <w:sz w:val="22"/>
                <w:szCs w:val="24"/>
              </w:rPr>
            </w:pPr>
            <w:r w:rsidRPr="00256DCA">
              <w:rPr>
                <w:rFonts w:ascii="Arial" w:hAnsi="Arial" w:cs="Arial"/>
                <w:sz w:val="22"/>
                <w:szCs w:val="24"/>
              </w:rPr>
              <w:t xml:space="preserve">Successivamente anche la </w:t>
            </w:r>
            <w:r w:rsidRPr="00256DCA">
              <w:rPr>
                <w:rFonts w:ascii="Arial" w:hAnsi="Arial" w:cs="Arial"/>
                <w:b/>
                <w:sz w:val="22"/>
                <w:szCs w:val="24"/>
              </w:rPr>
              <w:t>Legge di Stabilità per il 2015</w:t>
            </w:r>
            <w:r w:rsidRPr="00256DCA">
              <w:rPr>
                <w:rFonts w:ascii="Arial" w:hAnsi="Arial" w:cs="Arial"/>
                <w:sz w:val="22"/>
                <w:szCs w:val="24"/>
              </w:rPr>
              <w:t xml:space="preserve"> non registra quel cambio di passo tanto atteso. L’analisi degli stanziamenti per nuove infrastrutture previsti per il 2015 segna ancora una volta un </w:t>
            </w:r>
            <w:r w:rsidRPr="00256DCA">
              <w:rPr>
                <w:rFonts w:ascii="Arial" w:hAnsi="Arial" w:cs="Arial"/>
                <w:b/>
                <w:sz w:val="22"/>
                <w:szCs w:val="24"/>
              </w:rPr>
              <w:t>c</w:t>
            </w:r>
            <w:r w:rsidRPr="00256DCA">
              <w:rPr>
                <w:rFonts w:ascii="Arial" w:hAnsi="Arial" w:cs="Arial"/>
                <w:b/>
                <w:sz w:val="22"/>
                <w:szCs w:val="24"/>
              </w:rPr>
              <w:t>a</w:t>
            </w:r>
            <w:r w:rsidRPr="00256DCA">
              <w:rPr>
                <w:rFonts w:ascii="Arial" w:hAnsi="Arial" w:cs="Arial"/>
                <w:b/>
                <w:sz w:val="22"/>
                <w:szCs w:val="24"/>
              </w:rPr>
              <w:t xml:space="preserve">lo delle risorse di circa il 10% in termini reali rispetto allo scorso anno. </w:t>
            </w:r>
          </w:p>
        </w:tc>
      </w:tr>
    </w:tbl>
    <w:p w:rsidR="00256DCA" w:rsidRPr="002B3085" w:rsidRDefault="00256DCA" w:rsidP="00256DCA">
      <w:pPr>
        <w:tabs>
          <w:tab w:val="left" w:pos="2277"/>
        </w:tabs>
        <w:spacing w:after="100"/>
        <w:ind w:left="268"/>
        <w:jc w:val="center"/>
      </w:pPr>
      <w:r w:rsidRPr="002B3085">
        <w:rPr>
          <w:noProof/>
        </w:rPr>
        <w:drawing>
          <wp:inline distT="0" distB="0" distL="0" distR="0" wp14:anchorId="49CC5395" wp14:editId="3EAF5D83">
            <wp:extent cx="4505325" cy="320992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05325" cy="3209925"/>
                    </a:xfrm>
                    <a:prstGeom prst="rect">
                      <a:avLst/>
                    </a:prstGeom>
                    <a:noFill/>
                    <a:ln>
                      <a:noFill/>
                    </a:ln>
                  </pic:spPr>
                </pic:pic>
              </a:graphicData>
            </a:graphic>
          </wp:inline>
        </w:drawing>
      </w:r>
    </w:p>
    <w:p w:rsidR="00256DCA" w:rsidRPr="002B3085" w:rsidRDefault="00256DCA" w:rsidP="00256DCA">
      <w:pPr>
        <w:tabs>
          <w:tab w:val="left" w:pos="2277"/>
        </w:tabs>
        <w:spacing w:after="100"/>
        <w:ind w:left="268"/>
        <w:jc w:val="center"/>
      </w:pPr>
    </w:p>
    <w:tbl>
      <w:tblPr>
        <w:tblW w:w="9108" w:type="dxa"/>
        <w:jc w:val="center"/>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9"/>
        <w:gridCol w:w="7099"/>
      </w:tblGrid>
      <w:tr w:rsidR="00256DCA" w:rsidRPr="002B3085" w:rsidTr="00A16BCD">
        <w:trPr>
          <w:jc w:val="center"/>
        </w:trPr>
        <w:tc>
          <w:tcPr>
            <w:tcW w:w="2009" w:type="dxa"/>
            <w:tcBorders>
              <w:top w:val="nil"/>
              <w:left w:val="nil"/>
              <w:bottom w:val="nil"/>
              <w:right w:val="nil"/>
            </w:tcBorders>
          </w:tcPr>
          <w:p w:rsidR="00256DCA" w:rsidRPr="002B3085" w:rsidRDefault="00256DCA" w:rsidP="00A16BCD">
            <w:pPr>
              <w:suppressAutoHyphens/>
              <w:spacing w:after="120"/>
              <w:rPr>
                <w:rFonts w:ascii="Arial" w:hAnsi="Arial" w:cs="Arial"/>
                <w:b/>
                <w:color w:val="000080"/>
              </w:rPr>
            </w:pPr>
          </w:p>
        </w:tc>
        <w:tc>
          <w:tcPr>
            <w:tcW w:w="7099" w:type="dxa"/>
            <w:tcBorders>
              <w:top w:val="nil"/>
              <w:left w:val="nil"/>
              <w:bottom w:val="nil"/>
              <w:right w:val="nil"/>
            </w:tcBorders>
          </w:tcPr>
          <w:p w:rsidR="00256DCA" w:rsidRPr="00256DCA" w:rsidRDefault="00256DCA" w:rsidP="00A16BCD">
            <w:pPr>
              <w:spacing w:after="100"/>
              <w:jc w:val="both"/>
              <w:rPr>
                <w:rFonts w:ascii="Arial" w:hAnsi="Arial" w:cs="Arial"/>
                <w:sz w:val="22"/>
                <w:szCs w:val="24"/>
              </w:rPr>
            </w:pPr>
            <w:r w:rsidRPr="00256DCA">
              <w:rPr>
                <w:rFonts w:ascii="Arial" w:hAnsi="Arial" w:cs="Arial"/>
                <w:sz w:val="22"/>
                <w:szCs w:val="24"/>
              </w:rPr>
              <w:t>Occorre, quindi, invertire la tendenza che ha caratterizzato negli ultimi venti anni la politica di bilancio, penalizzando sempre la spesa in co</w:t>
            </w:r>
            <w:r w:rsidRPr="00256DCA">
              <w:rPr>
                <w:rFonts w:ascii="Arial" w:hAnsi="Arial" w:cs="Arial"/>
                <w:sz w:val="22"/>
                <w:szCs w:val="24"/>
              </w:rPr>
              <w:t>n</w:t>
            </w:r>
            <w:r w:rsidRPr="00256DCA">
              <w:rPr>
                <w:rFonts w:ascii="Arial" w:hAnsi="Arial" w:cs="Arial"/>
                <w:sz w:val="22"/>
                <w:szCs w:val="24"/>
              </w:rPr>
              <w:t>to capitale senza mai riuscire a comprimere quella corrente.</w:t>
            </w:r>
          </w:p>
          <w:p w:rsidR="00256DCA" w:rsidRPr="00256DCA" w:rsidRDefault="00256DCA" w:rsidP="00A16BCD">
            <w:pPr>
              <w:spacing w:after="100"/>
              <w:jc w:val="both"/>
              <w:rPr>
                <w:rFonts w:ascii="Arial" w:hAnsi="Arial" w:cs="Arial"/>
                <w:sz w:val="22"/>
                <w:szCs w:val="24"/>
              </w:rPr>
            </w:pPr>
            <w:r w:rsidRPr="00256DCA">
              <w:rPr>
                <w:rFonts w:ascii="Arial" w:hAnsi="Arial" w:cs="Arial"/>
                <w:sz w:val="22"/>
                <w:szCs w:val="24"/>
              </w:rPr>
              <w:t xml:space="preserve">A livello statale, </w:t>
            </w:r>
            <w:r w:rsidRPr="00256DCA">
              <w:rPr>
                <w:rFonts w:ascii="Arial" w:hAnsi="Arial" w:cs="Arial"/>
                <w:b/>
                <w:sz w:val="22"/>
                <w:szCs w:val="24"/>
              </w:rPr>
              <w:t>dal 1990 al 2014</w:t>
            </w:r>
            <w:r w:rsidRPr="00256DCA">
              <w:rPr>
                <w:rFonts w:ascii="Arial" w:hAnsi="Arial" w:cs="Arial"/>
                <w:sz w:val="22"/>
                <w:szCs w:val="24"/>
              </w:rPr>
              <w:t xml:space="preserve">, le previsioni di spesa segnano una </w:t>
            </w:r>
            <w:r w:rsidRPr="00256DCA">
              <w:rPr>
                <w:rFonts w:ascii="Arial" w:hAnsi="Arial" w:cs="Arial"/>
                <w:b/>
                <w:sz w:val="22"/>
                <w:szCs w:val="24"/>
              </w:rPr>
              <w:t>fortissima riduzione degli stanziamenti per spese in conto capit</w:t>
            </w:r>
            <w:r w:rsidRPr="00256DCA">
              <w:rPr>
                <w:rFonts w:ascii="Arial" w:hAnsi="Arial" w:cs="Arial"/>
                <w:b/>
                <w:sz w:val="22"/>
                <w:szCs w:val="24"/>
              </w:rPr>
              <w:t>a</w:t>
            </w:r>
            <w:r w:rsidRPr="00256DCA">
              <w:rPr>
                <w:rFonts w:ascii="Arial" w:hAnsi="Arial" w:cs="Arial"/>
                <w:b/>
                <w:sz w:val="22"/>
                <w:szCs w:val="24"/>
              </w:rPr>
              <w:t>le (-47,5%) a fronte di un consistente aumento di quelli relativi a spesa corrente al netto degli interessi del debito pubblico (+34%). In particolare, le risorse per nuove infrastrutture hanno subito nello stesso periodo una riduzione del 66%.</w:t>
            </w:r>
          </w:p>
        </w:tc>
      </w:tr>
    </w:tbl>
    <w:p w:rsidR="00256DCA" w:rsidRPr="002B3085" w:rsidRDefault="00256DCA" w:rsidP="00256DCA">
      <w:pPr>
        <w:tabs>
          <w:tab w:val="left" w:pos="2277"/>
        </w:tabs>
        <w:spacing w:after="100"/>
        <w:ind w:left="268"/>
        <w:jc w:val="center"/>
        <w:rPr>
          <w:rFonts w:ascii="Arial" w:hAnsi="Arial" w:cs="Arial"/>
          <w:sz w:val="24"/>
          <w:szCs w:val="24"/>
        </w:rPr>
      </w:pPr>
      <w:r w:rsidRPr="002B3085">
        <w:rPr>
          <w:noProof/>
        </w:rPr>
        <w:drawing>
          <wp:inline distT="0" distB="0" distL="0" distR="0" wp14:anchorId="68A33105" wp14:editId="579C8321">
            <wp:extent cx="3676331" cy="2905125"/>
            <wp:effectExtent l="0" t="0" r="635"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79825" cy="2907886"/>
                    </a:xfrm>
                    <a:prstGeom prst="rect">
                      <a:avLst/>
                    </a:prstGeom>
                    <a:noFill/>
                    <a:ln>
                      <a:noFill/>
                    </a:ln>
                  </pic:spPr>
                </pic:pic>
              </a:graphicData>
            </a:graphic>
          </wp:inline>
        </w:drawing>
      </w:r>
    </w:p>
    <w:tbl>
      <w:tblPr>
        <w:tblW w:w="9108" w:type="dxa"/>
        <w:jc w:val="center"/>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9"/>
        <w:gridCol w:w="7099"/>
      </w:tblGrid>
      <w:tr w:rsidR="00256DCA" w:rsidRPr="002B3085" w:rsidTr="00A16BCD">
        <w:trPr>
          <w:jc w:val="center"/>
        </w:trPr>
        <w:tc>
          <w:tcPr>
            <w:tcW w:w="2009" w:type="dxa"/>
            <w:tcBorders>
              <w:top w:val="nil"/>
              <w:left w:val="nil"/>
              <w:bottom w:val="nil"/>
              <w:right w:val="nil"/>
            </w:tcBorders>
          </w:tcPr>
          <w:p w:rsidR="00256DCA" w:rsidRPr="002B3085" w:rsidRDefault="00256DCA" w:rsidP="00A16BCD">
            <w:pPr>
              <w:suppressAutoHyphens/>
              <w:spacing w:after="120"/>
              <w:rPr>
                <w:rFonts w:ascii="Arial" w:hAnsi="Arial" w:cs="Arial"/>
                <w:b/>
                <w:color w:val="000080"/>
              </w:rPr>
            </w:pPr>
          </w:p>
        </w:tc>
        <w:tc>
          <w:tcPr>
            <w:tcW w:w="7099" w:type="dxa"/>
            <w:tcBorders>
              <w:top w:val="nil"/>
              <w:left w:val="nil"/>
              <w:bottom w:val="nil"/>
              <w:right w:val="nil"/>
            </w:tcBorders>
          </w:tcPr>
          <w:p w:rsidR="00256DCA" w:rsidRPr="00256DCA" w:rsidRDefault="00256DCA" w:rsidP="00A16BCD">
            <w:pPr>
              <w:spacing w:after="100"/>
              <w:jc w:val="both"/>
              <w:rPr>
                <w:rFonts w:ascii="Arial" w:hAnsi="Arial" w:cs="Arial"/>
                <w:sz w:val="22"/>
                <w:szCs w:val="24"/>
              </w:rPr>
            </w:pPr>
            <w:r w:rsidRPr="00256DCA">
              <w:rPr>
                <w:rFonts w:ascii="Arial" w:hAnsi="Arial" w:cs="Arial"/>
                <w:sz w:val="22"/>
                <w:szCs w:val="24"/>
              </w:rPr>
              <w:t xml:space="preserve">Anche </w:t>
            </w:r>
            <w:r w:rsidRPr="00256DCA">
              <w:rPr>
                <w:rFonts w:ascii="Arial" w:hAnsi="Arial" w:cs="Arial"/>
                <w:b/>
                <w:sz w:val="22"/>
                <w:szCs w:val="24"/>
              </w:rPr>
              <w:t>a livello locale</w:t>
            </w:r>
            <w:r w:rsidRPr="00256DCA">
              <w:rPr>
                <w:rFonts w:ascii="Arial" w:hAnsi="Arial" w:cs="Arial"/>
                <w:sz w:val="22"/>
                <w:szCs w:val="24"/>
              </w:rPr>
              <w:t xml:space="preserve"> le scelte di bilancio effettuate dagli enti locali, a cause delle regole del Patto di stabilità interno, hanno fortemente p</w:t>
            </w:r>
            <w:r w:rsidRPr="00256DCA">
              <w:rPr>
                <w:rFonts w:ascii="Arial" w:hAnsi="Arial" w:cs="Arial"/>
                <w:sz w:val="22"/>
                <w:szCs w:val="24"/>
              </w:rPr>
              <w:t>e</w:t>
            </w:r>
            <w:r w:rsidRPr="00256DCA">
              <w:rPr>
                <w:rFonts w:ascii="Arial" w:hAnsi="Arial" w:cs="Arial"/>
                <w:sz w:val="22"/>
                <w:szCs w:val="24"/>
              </w:rPr>
              <w:t>nalizzato le spese per investimenti. Secondo le stime dell’Ance, reali</w:t>
            </w:r>
            <w:r w:rsidRPr="00256DCA">
              <w:rPr>
                <w:rFonts w:ascii="Arial" w:hAnsi="Arial" w:cs="Arial"/>
                <w:sz w:val="22"/>
                <w:szCs w:val="24"/>
              </w:rPr>
              <w:t>z</w:t>
            </w:r>
            <w:r w:rsidRPr="00256DCA">
              <w:rPr>
                <w:rFonts w:ascii="Arial" w:hAnsi="Arial" w:cs="Arial"/>
                <w:sz w:val="22"/>
                <w:szCs w:val="24"/>
              </w:rPr>
              <w:t xml:space="preserve">zate sulla base dei dati della Ragioneria dello Stato, </w:t>
            </w:r>
            <w:r w:rsidRPr="00256DCA">
              <w:rPr>
                <w:rFonts w:ascii="Arial" w:hAnsi="Arial" w:cs="Arial"/>
                <w:b/>
                <w:sz w:val="22"/>
                <w:szCs w:val="24"/>
              </w:rPr>
              <w:t>tra il 2008 ed il 2014, a fronte di una stabilità delle spese complessive (+2%), i Comuni hanno ridotto del 47% le spese in conto capitale e a</w:t>
            </w:r>
            <w:r w:rsidRPr="00256DCA">
              <w:rPr>
                <w:rFonts w:ascii="Arial" w:hAnsi="Arial" w:cs="Arial"/>
                <w:b/>
                <w:sz w:val="22"/>
                <w:szCs w:val="24"/>
              </w:rPr>
              <w:t>u</w:t>
            </w:r>
            <w:r w:rsidRPr="00256DCA">
              <w:rPr>
                <w:rFonts w:ascii="Arial" w:hAnsi="Arial" w:cs="Arial"/>
                <w:b/>
                <w:sz w:val="22"/>
                <w:szCs w:val="24"/>
              </w:rPr>
              <w:t>mentato del 17% le spese correnti</w:t>
            </w:r>
            <w:r w:rsidRPr="00256DCA">
              <w:rPr>
                <w:rFonts w:ascii="Arial" w:hAnsi="Arial" w:cs="Arial"/>
                <w:sz w:val="22"/>
                <w:szCs w:val="24"/>
              </w:rPr>
              <w:t>.</w:t>
            </w:r>
          </w:p>
        </w:tc>
      </w:tr>
    </w:tbl>
    <w:p w:rsidR="00256DCA" w:rsidRPr="002B3085" w:rsidRDefault="00256DCA" w:rsidP="00256DCA">
      <w:pPr>
        <w:jc w:val="center"/>
      </w:pPr>
      <w:r w:rsidRPr="002B3085">
        <w:rPr>
          <w:noProof/>
        </w:rPr>
        <w:drawing>
          <wp:inline distT="0" distB="0" distL="0" distR="0" wp14:anchorId="2A5F5B90" wp14:editId="27485D3C">
            <wp:extent cx="5229225" cy="2643699"/>
            <wp:effectExtent l="0" t="0" r="0" b="444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28610" cy="2643388"/>
                    </a:xfrm>
                    <a:prstGeom prst="rect">
                      <a:avLst/>
                    </a:prstGeom>
                    <a:noFill/>
                    <a:ln>
                      <a:noFill/>
                    </a:ln>
                  </pic:spPr>
                </pic:pic>
              </a:graphicData>
            </a:graphic>
          </wp:inline>
        </w:drawing>
      </w:r>
    </w:p>
    <w:p w:rsidR="00256DCA" w:rsidRPr="002B3085" w:rsidRDefault="00256DCA" w:rsidP="00256DCA">
      <w:pPr>
        <w:jc w:val="center"/>
      </w:pPr>
    </w:p>
    <w:tbl>
      <w:tblPr>
        <w:tblW w:w="8806" w:type="dxa"/>
        <w:jc w:val="center"/>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7"/>
        <w:gridCol w:w="7099"/>
      </w:tblGrid>
      <w:tr w:rsidR="00256DCA" w:rsidRPr="002B3085" w:rsidTr="00A16BCD">
        <w:trPr>
          <w:jc w:val="center"/>
        </w:trPr>
        <w:tc>
          <w:tcPr>
            <w:tcW w:w="1707" w:type="dxa"/>
            <w:tcBorders>
              <w:top w:val="nil"/>
              <w:left w:val="nil"/>
              <w:bottom w:val="nil"/>
              <w:right w:val="nil"/>
            </w:tcBorders>
          </w:tcPr>
          <w:p w:rsidR="00256DCA" w:rsidRPr="00E3665C" w:rsidRDefault="00256DCA" w:rsidP="00A16BCD">
            <w:pPr>
              <w:suppressAutoHyphens/>
              <w:spacing w:after="120"/>
              <w:rPr>
                <w:rFonts w:ascii="Arial" w:hAnsi="Arial" w:cs="Arial"/>
                <w:b/>
                <w:color w:val="000080"/>
              </w:rPr>
            </w:pPr>
          </w:p>
        </w:tc>
        <w:tc>
          <w:tcPr>
            <w:tcW w:w="7099" w:type="dxa"/>
            <w:tcBorders>
              <w:top w:val="nil"/>
              <w:left w:val="nil"/>
              <w:bottom w:val="nil"/>
              <w:right w:val="nil"/>
            </w:tcBorders>
          </w:tcPr>
          <w:p w:rsidR="00256DCA" w:rsidRPr="00256DCA" w:rsidRDefault="00256DCA" w:rsidP="00A16BCD">
            <w:pPr>
              <w:spacing w:after="100"/>
              <w:jc w:val="both"/>
              <w:rPr>
                <w:rFonts w:ascii="Arial" w:hAnsi="Arial" w:cs="Arial"/>
                <w:sz w:val="22"/>
                <w:szCs w:val="24"/>
              </w:rPr>
            </w:pPr>
            <w:r w:rsidRPr="00256DCA">
              <w:rPr>
                <w:rFonts w:ascii="Arial" w:hAnsi="Arial" w:cs="Arial"/>
                <w:sz w:val="22"/>
                <w:szCs w:val="24"/>
              </w:rPr>
              <w:t xml:space="preserve">Anche in Emilia-Romagna, si è registrata questa tendenza. </w:t>
            </w:r>
            <w:r w:rsidRPr="00256DCA">
              <w:rPr>
                <w:rFonts w:ascii="Arial" w:hAnsi="Arial" w:cs="Arial"/>
                <w:b/>
                <w:sz w:val="22"/>
                <w:szCs w:val="24"/>
              </w:rPr>
              <w:t>Tra il 2008 ed il 2014, infatti, a fronte di una significativa riduzione delle sp</w:t>
            </w:r>
            <w:r w:rsidRPr="00256DCA">
              <w:rPr>
                <w:rFonts w:ascii="Arial" w:hAnsi="Arial" w:cs="Arial"/>
                <w:b/>
                <w:sz w:val="22"/>
                <w:szCs w:val="24"/>
              </w:rPr>
              <w:t>e</w:t>
            </w:r>
            <w:r w:rsidRPr="00256DCA">
              <w:rPr>
                <w:rFonts w:ascii="Arial" w:hAnsi="Arial" w:cs="Arial"/>
                <w:b/>
                <w:sz w:val="22"/>
                <w:szCs w:val="24"/>
              </w:rPr>
              <w:t>se totali (-9%), i Comuni hanno ridotto del 55% le spese in conto capitale</w:t>
            </w:r>
            <w:r w:rsidRPr="00256DCA">
              <w:rPr>
                <w:rFonts w:ascii="Arial" w:hAnsi="Arial" w:cs="Arial"/>
                <w:sz w:val="22"/>
                <w:szCs w:val="24"/>
              </w:rPr>
              <w:t xml:space="preserve"> (da circa 1.535 milioni di euro nel 2008 a 686 milioni nel 2014)</w:t>
            </w:r>
            <w:r w:rsidRPr="00256DCA">
              <w:rPr>
                <w:rFonts w:ascii="Arial" w:hAnsi="Arial" w:cs="Arial"/>
                <w:b/>
                <w:sz w:val="22"/>
                <w:szCs w:val="24"/>
              </w:rPr>
              <w:t xml:space="preserve"> e aumentato del 10% le spese correnti</w:t>
            </w:r>
            <w:r w:rsidRPr="00256DCA">
              <w:rPr>
                <w:rFonts w:ascii="Arial" w:hAnsi="Arial" w:cs="Arial"/>
                <w:sz w:val="22"/>
                <w:szCs w:val="24"/>
              </w:rPr>
              <w:t>.</w:t>
            </w:r>
          </w:p>
        </w:tc>
      </w:tr>
    </w:tbl>
    <w:p w:rsidR="00256DCA" w:rsidRPr="002B3085" w:rsidRDefault="00256DCA" w:rsidP="00256DCA">
      <w:pPr>
        <w:tabs>
          <w:tab w:val="left" w:pos="2277"/>
        </w:tabs>
        <w:spacing w:after="100"/>
        <w:ind w:left="268"/>
        <w:jc w:val="center"/>
        <w:rPr>
          <w:rFonts w:ascii="Arial" w:hAnsi="Arial" w:cs="Arial"/>
          <w:noProof/>
        </w:rPr>
      </w:pPr>
      <w:r w:rsidRPr="00E61F85">
        <w:rPr>
          <w:noProof/>
        </w:rPr>
        <w:drawing>
          <wp:inline distT="0" distB="0" distL="0" distR="0" wp14:anchorId="1E2D89EF" wp14:editId="54116612">
            <wp:extent cx="4872839" cy="2726320"/>
            <wp:effectExtent l="0" t="0" r="4445"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t="4229"/>
                    <a:stretch/>
                  </pic:blipFill>
                  <pic:spPr bwMode="auto">
                    <a:xfrm>
                      <a:off x="0" y="0"/>
                      <a:ext cx="4875842" cy="2728000"/>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8806" w:type="dxa"/>
        <w:jc w:val="center"/>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7"/>
        <w:gridCol w:w="7099"/>
      </w:tblGrid>
      <w:tr w:rsidR="00256DCA" w:rsidRPr="002B3085" w:rsidTr="00A16BCD">
        <w:trPr>
          <w:jc w:val="center"/>
        </w:trPr>
        <w:tc>
          <w:tcPr>
            <w:tcW w:w="1707" w:type="dxa"/>
            <w:tcBorders>
              <w:top w:val="nil"/>
              <w:left w:val="nil"/>
              <w:bottom w:val="nil"/>
              <w:right w:val="nil"/>
            </w:tcBorders>
            <w:shd w:val="clear" w:color="auto" w:fill="auto"/>
          </w:tcPr>
          <w:p w:rsidR="00256DCA" w:rsidRPr="00E61F85" w:rsidRDefault="00256DCA" w:rsidP="00A16BCD">
            <w:pPr>
              <w:suppressAutoHyphens/>
              <w:rPr>
                <w:rFonts w:ascii="Arial" w:hAnsi="Arial" w:cs="Arial"/>
                <w:b/>
                <w:color w:val="000080"/>
              </w:rPr>
            </w:pPr>
          </w:p>
        </w:tc>
        <w:tc>
          <w:tcPr>
            <w:tcW w:w="7099" w:type="dxa"/>
            <w:tcBorders>
              <w:top w:val="nil"/>
              <w:left w:val="nil"/>
              <w:bottom w:val="nil"/>
              <w:right w:val="nil"/>
            </w:tcBorders>
            <w:shd w:val="clear" w:color="auto" w:fill="auto"/>
          </w:tcPr>
          <w:p w:rsidR="00256DCA" w:rsidRPr="00256DCA" w:rsidRDefault="00256DCA" w:rsidP="00256DCA">
            <w:pPr>
              <w:spacing w:after="120"/>
              <w:jc w:val="both"/>
              <w:rPr>
                <w:rFonts w:ascii="Arial" w:hAnsi="Arial" w:cs="Arial"/>
                <w:sz w:val="22"/>
                <w:szCs w:val="24"/>
              </w:rPr>
            </w:pPr>
            <w:r w:rsidRPr="00256DCA">
              <w:rPr>
                <w:rFonts w:ascii="Arial" w:hAnsi="Arial" w:cs="Arial"/>
                <w:sz w:val="22"/>
                <w:szCs w:val="24"/>
              </w:rPr>
              <w:t>Sulla dinamica di aumento delle spese correnti nel biennio 2013-2014, ha tuttavia pesato in modo prevalente l’aumento delle spese per co</w:t>
            </w:r>
            <w:r w:rsidRPr="00256DCA">
              <w:rPr>
                <w:rFonts w:ascii="Arial" w:hAnsi="Arial" w:cs="Arial"/>
                <w:sz w:val="22"/>
                <w:szCs w:val="24"/>
              </w:rPr>
              <w:t>n</w:t>
            </w:r>
            <w:r w:rsidRPr="00256DCA">
              <w:rPr>
                <w:rFonts w:ascii="Arial" w:hAnsi="Arial" w:cs="Arial"/>
                <w:sz w:val="22"/>
                <w:szCs w:val="24"/>
              </w:rPr>
              <w:t>tratti di servizio per lo smaltimento dei rifiuti mentre sul periodo, si r</w:t>
            </w:r>
            <w:r w:rsidRPr="00256DCA">
              <w:rPr>
                <w:rFonts w:ascii="Arial" w:hAnsi="Arial" w:cs="Arial"/>
                <w:sz w:val="22"/>
                <w:szCs w:val="24"/>
              </w:rPr>
              <w:t>e</w:t>
            </w:r>
            <w:r w:rsidRPr="00256DCA">
              <w:rPr>
                <w:rFonts w:ascii="Arial" w:hAnsi="Arial" w:cs="Arial"/>
                <w:sz w:val="22"/>
                <w:szCs w:val="24"/>
              </w:rPr>
              <w:t>gistra una diminuzione significativa di molte altre spese correnti come ad esempio quelle del personale.</w:t>
            </w:r>
          </w:p>
          <w:p w:rsidR="00256DCA" w:rsidRPr="00256DCA" w:rsidRDefault="00256DCA" w:rsidP="00256DCA">
            <w:pPr>
              <w:spacing w:after="120"/>
              <w:jc w:val="both"/>
              <w:rPr>
                <w:rFonts w:ascii="Arial" w:hAnsi="Arial" w:cs="Arial"/>
                <w:sz w:val="22"/>
                <w:szCs w:val="24"/>
              </w:rPr>
            </w:pPr>
            <w:r w:rsidRPr="00256DCA">
              <w:rPr>
                <w:rFonts w:ascii="Arial" w:hAnsi="Arial" w:cs="Arial"/>
                <w:sz w:val="22"/>
                <w:szCs w:val="24"/>
              </w:rPr>
              <w:t>Il valore più elevato dell’importo delle spese in conto capitale nel 2013 rispetto al 2012 e al 2014 è invece da attribuire alle misure relative ai debiti pregressi delle Pubbliche Amministrazioni ed in particolare all’allentamento del Patto di stabilità interno degli enti locali disposto in attuazione del decreto-legge n.35/2013.</w:t>
            </w:r>
          </w:p>
        </w:tc>
      </w:tr>
      <w:tr w:rsidR="00256DCA" w:rsidRPr="002B3085" w:rsidTr="00A16BCD">
        <w:trPr>
          <w:jc w:val="center"/>
        </w:trPr>
        <w:tc>
          <w:tcPr>
            <w:tcW w:w="1707" w:type="dxa"/>
            <w:tcBorders>
              <w:top w:val="nil"/>
              <w:left w:val="nil"/>
              <w:bottom w:val="nil"/>
              <w:right w:val="nil"/>
            </w:tcBorders>
          </w:tcPr>
          <w:p w:rsidR="00256DCA" w:rsidRPr="002B3085" w:rsidRDefault="00256DCA" w:rsidP="00A16BCD">
            <w:pPr>
              <w:suppressAutoHyphens/>
              <w:rPr>
                <w:rFonts w:ascii="Arial" w:hAnsi="Arial" w:cs="Arial"/>
                <w:b/>
                <w:color w:val="000080"/>
              </w:rPr>
            </w:pPr>
          </w:p>
        </w:tc>
        <w:tc>
          <w:tcPr>
            <w:tcW w:w="7099" w:type="dxa"/>
            <w:tcBorders>
              <w:top w:val="nil"/>
              <w:left w:val="nil"/>
              <w:bottom w:val="nil"/>
              <w:right w:val="nil"/>
            </w:tcBorders>
          </w:tcPr>
          <w:p w:rsidR="00256DCA" w:rsidRPr="00256DCA" w:rsidRDefault="00256DCA" w:rsidP="00A16BCD">
            <w:pPr>
              <w:spacing w:after="60"/>
              <w:jc w:val="both"/>
              <w:rPr>
                <w:rFonts w:ascii="Arial" w:hAnsi="Arial" w:cs="Arial"/>
                <w:sz w:val="22"/>
              </w:rPr>
            </w:pPr>
            <w:r w:rsidRPr="00256DCA">
              <w:rPr>
                <w:rFonts w:ascii="Arial" w:hAnsi="Arial" w:cs="Arial"/>
                <w:sz w:val="22"/>
              </w:rPr>
              <w:t>In questo contesto, per fare in modo che gli investimenti in opere pu</w:t>
            </w:r>
            <w:r w:rsidRPr="00256DCA">
              <w:rPr>
                <w:rFonts w:ascii="Arial" w:hAnsi="Arial" w:cs="Arial"/>
                <w:sz w:val="22"/>
              </w:rPr>
              <w:t>b</w:t>
            </w:r>
            <w:r w:rsidRPr="00256DCA">
              <w:rPr>
                <w:rFonts w:ascii="Arial" w:hAnsi="Arial" w:cs="Arial"/>
                <w:sz w:val="22"/>
              </w:rPr>
              <w:t>bliche tornino a crescere, con effetti positivi su PIL e occupazione, serve una modifica delle scelte di bilancio, che consenta di liberare r</w:t>
            </w:r>
            <w:r w:rsidRPr="00256DCA">
              <w:rPr>
                <w:rFonts w:ascii="Arial" w:hAnsi="Arial" w:cs="Arial"/>
                <w:sz w:val="22"/>
              </w:rPr>
              <w:t>i</w:t>
            </w:r>
            <w:r w:rsidRPr="00256DCA">
              <w:rPr>
                <w:rFonts w:ascii="Arial" w:hAnsi="Arial" w:cs="Arial"/>
                <w:sz w:val="22"/>
              </w:rPr>
              <w:t>sorse da destinare agli investimenti infrastrutturali necessari per il Paese.</w:t>
            </w:r>
          </w:p>
          <w:p w:rsidR="00256DCA" w:rsidRPr="00256DCA" w:rsidRDefault="00256DCA" w:rsidP="00A16BCD">
            <w:pPr>
              <w:spacing w:after="60"/>
              <w:jc w:val="both"/>
              <w:rPr>
                <w:rFonts w:ascii="Arial" w:hAnsi="Arial" w:cs="Arial"/>
                <w:b/>
                <w:sz w:val="22"/>
              </w:rPr>
            </w:pPr>
            <w:r w:rsidRPr="00256DCA">
              <w:rPr>
                <w:rFonts w:ascii="Arial" w:hAnsi="Arial" w:cs="Arial"/>
                <w:b/>
                <w:sz w:val="22"/>
              </w:rPr>
              <w:t>Ciò non può prescindere da una modifica delle scelte di bilancio che consenta di liberare risorse da destinare agli investimenti i</w:t>
            </w:r>
            <w:r w:rsidRPr="00256DCA">
              <w:rPr>
                <w:rFonts w:ascii="Arial" w:hAnsi="Arial" w:cs="Arial"/>
                <w:b/>
                <w:sz w:val="22"/>
              </w:rPr>
              <w:t>n</w:t>
            </w:r>
            <w:r w:rsidRPr="00256DCA">
              <w:rPr>
                <w:rFonts w:ascii="Arial" w:hAnsi="Arial" w:cs="Arial"/>
                <w:b/>
                <w:sz w:val="22"/>
              </w:rPr>
              <w:t xml:space="preserve">frastrutturali necessari per il Paese. </w:t>
            </w:r>
          </w:p>
          <w:p w:rsidR="00256DCA" w:rsidRPr="00256DCA" w:rsidRDefault="00256DCA" w:rsidP="00A16BCD">
            <w:pPr>
              <w:spacing w:after="60"/>
              <w:jc w:val="both"/>
              <w:rPr>
                <w:rFonts w:ascii="Arial" w:eastAsia="Calibri" w:hAnsi="Arial" w:cs="Arial"/>
                <w:iCs/>
                <w:sz w:val="22"/>
              </w:rPr>
            </w:pPr>
            <w:r w:rsidRPr="00256DCA">
              <w:rPr>
                <w:rFonts w:ascii="Arial" w:hAnsi="Arial" w:cs="Arial"/>
                <w:b/>
                <w:sz w:val="22"/>
              </w:rPr>
              <w:t>In questo senso appare positiva la previsione contenuta nel DEF 2015 che vede la</w:t>
            </w:r>
            <w:r w:rsidRPr="00256DCA">
              <w:rPr>
                <w:rFonts w:ascii="Arial" w:eastAsia="Calibri" w:hAnsi="Arial" w:cs="Arial"/>
                <w:iCs/>
                <w:sz w:val="22"/>
              </w:rPr>
              <w:t xml:space="preserve"> </w:t>
            </w:r>
            <w:r w:rsidRPr="00256DCA">
              <w:rPr>
                <w:rFonts w:ascii="Arial" w:eastAsia="Calibri" w:hAnsi="Arial" w:cs="Arial"/>
                <w:b/>
                <w:bCs/>
                <w:iCs/>
                <w:sz w:val="22"/>
              </w:rPr>
              <w:t xml:space="preserve">spesa </w:t>
            </w:r>
            <w:r w:rsidRPr="00256DCA">
              <w:rPr>
                <w:rFonts w:ascii="Arial" w:hAnsi="Arial" w:cs="Arial"/>
                <w:b/>
                <w:sz w:val="22"/>
              </w:rPr>
              <w:t>della Pubblica Amministrazione per inv</w:t>
            </w:r>
            <w:r w:rsidRPr="00256DCA">
              <w:rPr>
                <w:rFonts w:ascii="Arial" w:hAnsi="Arial" w:cs="Arial"/>
                <w:b/>
                <w:sz w:val="22"/>
              </w:rPr>
              <w:t>e</w:t>
            </w:r>
            <w:r w:rsidRPr="00256DCA">
              <w:rPr>
                <w:rFonts w:ascii="Arial" w:hAnsi="Arial" w:cs="Arial"/>
                <w:b/>
                <w:sz w:val="22"/>
              </w:rPr>
              <w:t>stimenti fissi lordi</w:t>
            </w:r>
            <w:r w:rsidRPr="00256DCA">
              <w:rPr>
                <w:rFonts w:ascii="Arial" w:hAnsi="Arial" w:cs="Arial"/>
                <w:sz w:val="22"/>
              </w:rPr>
              <w:t xml:space="preserve"> </w:t>
            </w:r>
            <w:r w:rsidRPr="00256DCA">
              <w:rPr>
                <w:rFonts w:ascii="Arial" w:hAnsi="Arial" w:cs="Arial"/>
                <w:b/>
                <w:sz w:val="22"/>
              </w:rPr>
              <w:t>nel 2015</w:t>
            </w:r>
            <w:r w:rsidRPr="00256DCA">
              <w:rPr>
                <w:rFonts w:ascii="Arial" w:hAnsi="Arial" w:cs="Arial"/>
                <w:sz w:val="22"/>
              </w:rPr>
              <w:t xml:space="preserve"> </w:t>
            </w:r>
            <w:r w:rsidRPr="00256DCA">
              <w:rPr>
                <w:rFonts w:ascii="Arial" w:eastAsia="Calibri" w:hAnsi="Arial" w:cs="Arial"/>
                <w:b/>
                <w:iCs/>
                <w:sz w:val="22"/>
              </w:rPr>
              <w:t xml:space="preserve">tornare a crescere, </w:t>
            </w:r>
            <w:r w:rsidRPr="00256DCA">
              <w:rPr>
                <w:rFonts w:ascii="Arial" w:eastAsia="Calibri" w:hAnsi="Arial" w:cs="Arial"/>
                <w:iCs/>
                <w:sz w:val="22"/>
              </w:rPr>
              <w:t xml:space="preserve">dopo i forti cali degli anni precedenti. </w:t>
            </w:r>
          </w:p>
          <w:p w:rsidR="00256DCA" w:rsidRPr="00256DCA" w:rsidRDefault="00256DCA" w:rsidP="00A16BCD">
            <w:pPr>
              <w:spacing w:after="100"/>
              <w:jc w:val="both"/>
              <w:rPr>
                <w:rFonts w:ascii="Arial" w:hAnsi="Arial" w:cs="Arial"/>
                <w:sz w:val="22"/>
                <w:szCs w:val="24"/>
              </w:rPr>
            </w:pPr>
            <w:r w:rsidRPr="00256DCA">
              <w:rPr>
                <w:rFonts w:ascii="Arial" w:eastAsia="Calibri" w:hAnsi="Arial" w:cs="Arial"/>
                <w:iCs/>
                <w:sz w:val="22"/>
              </w:rPr>
              <w:t>Secondo il documento programmatico, per questo aggregato, costitu</w:t>
            </w:r>
            <w:r w:rsidRPr="00256DCA">
              <w:rPr>
                <w:rFonts w:ascii="Arial" w:eastAsia="Calibri" w:hAnsi="Arial" w:cs="Arial"/>
                <w:iCs/>
                <w:sz w:val="22"/>
              </w:rPr>
              <w:t>i</w:t>
            </w:r>
            <w:r w:rsidRPr="00256DCA">
              <w:rPr>
                <w:rFonts w:ascii="Arial" w:eastAsia="Calibri" w:hAnsi="Arial" w:cs="Arial"/>
                <w:iCs/>
                <w:sz w:val="22"/>
              </w:rPr>
              <w:t xml:space="preserve">to per la maggior parte da opere pubbliche, sono stimati </w:t>
            </w:r>
            <w:r w:rsidRPr="00256DCA">
              <w:rPr>
                <w:rFonts w:ascii="Arial" w:eastAsia="Calibri" w:hAnsi="Arial" w:cs="Arial"/>
                <w:b/>
                <w:iCs/>
                <w:sz w:val="22"/>
              </w:rPr>
              <w:t>aumenti te</w:t>
            </w:r>
            <w:r w:rsidRPr="00256DCA">
              <w:rPr>
                <w:rFonts w:ascii="Arial" w:eastAsia="Calibri" w:hAnsi="Arial" w:cs="Arial"/>
                <w:b/>
                <w:iCs/>
                <w:sz w:val="22"/>
              </w:rPr>
              <w:t>n</w:t>
            </w:r>
            <w:r w:rsidRPr="00256DCA">
              <w:rPr>
                <w:rFonts w:ascii="Arial" w:eastAsia="Calibri" w:hAnsi="Arial" w:cs="Arial"/>
                <w:b/>
                <w:iCs/>
                <w:sz w:val="22"/>
              </w:rPr>
              <w:t xml:space="preserve">denziali </w:t>
            </w:r>
            <w:r w:rsidRPr="00256DCA">
              <w:rPr>
                <w:rFonts w:ascii="Arial" w:eastAsia="Calibri" w:hAnsi="Arial" w:cs="Arial"/>
                <w:iCs/>
                <w:sz w:val="22"/>
              </w:rPr>
              <w:t xml:space="preserve">in valori correnti </w:t>
            </w:r>
            <w:r w:rsidRPr="00256DCA">
              <w:rPr>
                <w:rFonts w:ascii="Arial" w:eastAsia="Calibri" w:hAnsi="Arial" w:cs="Arial"/>
                <w:b/>
                <w:iCs/>
                <w:sz w:val="22"/>
              </w:rPr>
              <w:t>dell’1,9% nel 2015, del +4,5% nel 2016  e del +2,4% nel 2017</w:t>
            </w:r>
            <w:r w:rsidRPr="00256DCA">
              <w:rPr>
                <w:rFonts w:ascii="Arial" w:eastAsia="Calibri" w:hAnsi="Arial" w:cs="Arial"/>
                <w:iCs/>
                <w:sz w:val="22"/>
              </w:rPr>
              <w:t xml:space="preserve"> (-6% nel 2014).</w:t>
            </w:r>
          </w:p>
        </w:tc>
      </w:tr>
    </w:tbl>
    <w:p w:rsidR="00256DCA" w:rsidRPr="002B3085" w:rsidRDefault="00256DCA" w:rsidP="00256DCA">
      <w:pPr>
        <w:tabs>
          <w:tab w:val="left" w:pos="2277"/>
        </w:tabs>
        <w:spacing w:after="60"/>
        <w:ind w:left="570"/>
        <w:jc w:val="center"/>
        <w:rPr>
          <w:rFonts w:ascii="Arial" w:hAnsi="Arial" w:cs="Arial"/>
          <w:b/>
        </w:rPr>
      </w:pPr>
      <w:r w:rsidRPr="002B3085">
        <w:rPr>
          <w:rFonts w:ascii="Arial" w:eastAsia="Calibri" w:hAnsi="Arial" w:cs="Arial"/>
          <w:noProof/>
        </w:rPr>
        <w:drawing>
          <wp:inline distT="0" distB="0" distL="0" distR="0" wp14:anchorId="3A85AEFC" wp14:editId="3596C959">
            <wp:extent cx="3782160" cy="2790825"/>
            <wp:effectExtent l="0" t="0" r="889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85442" cy="2793247"/>
                    </a:xfrm>
                    <a:prstGeom prst="rect">
                      <a:avLst/>
                    </a:prstGeom>
                    <a:noFill/>
                    <a:ln>
                      <a:noFill/>
                    </a:ln>
                  </pic:spPr>
                </pic:pic>
              </a:graphicData>
            </a:graphic>
          </wp:inline>
        </w:drawing>
      </w:r>
    </w:p>
    <w:tbl>
      <w:tblPr>
        <w:tblW w:w="8797" w:type="dxa"/>
        <w:jc w:val="center"/>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8"/>
        <w:gridCol w:w="7099"/>
      </w:tblGrid>
      <w:tr w:rsidR="00256DCA" w:rsidRPr="002B3085" w:rsidTr="00A16BCD">
        <w:trPr>
          <w:jc w:val="center"/>
        </w:trPr>
        <w:tc>
          <w:tcPr>
            <w:tcW w:w="1698" w:type="dxa"/>
            <w:tcBorders>
              <w:top w:val="nil"/>
              <w:left w:val="nil"/>
              <w:bottom w:val="nil"/>
              <w:right w:val="nil"/>
            </w:tcBorders>
          </w:tcPr>
          <w:p w:rsidR="00256DCA" w:rsidRPr="002B3085" w:rsidRDefault="00256DCA" w:rsidP="00A16BCD">
            <w:pPr>
              <w:suppressAutoHyphens/>
              <w:rPr>
                <w:rFonts w:ascii="Arial" w:hAnsi="Arial" w:cs="Arial"/>
                <w:b/>
                <w:color w:val="000080"/>
              </w:rPr>
            </w:pPr>
          </w:p>
        </w:tc>
        <w:tc>
          <w:tcPr>
            <w:tcW w:w="7099" w:type="dxa"/>
            <w:tcBorders>
              <w:top w:val="nil"/>
              <w:left w:val="nil"/>
              <w:bottom w:val="nil"/>
              <w:right w:val="nil"/>
            </w:tcBorders>
          </w:tcPr>
          <w:p w:rsidR="00256DCA" w:rsidRPr="00256DCA" w:rsidRDefault="00256DCA" w:rsidP="00A16BCD">
            <w:pPr>
              <w:spacing w:after="60"/>
              <w:jc w:val="both"/>
              <w:rPr>
                <w:rFonts w:ascii="Arial" w:hAnsi="Arial" w:cs="Arial"/>
                <w:b/>
                <w:sz w:val="22"/>
              </w:rPr>
            </w:pPr>
            <w:r w:rsidRPr="00256DCA">
              <w:rPr>
                <w:rFonts w:ascii="Arial" w:hAnsi="Arial" w:cs="Arial"/>
                <w:b/>
                <w:sz w:val="22"/>
              </w:rPr>
              <w:t xml:space="preserve">L’intensità degli aumenti, però, appare ancora troppo limitata. </w:t>
            </w:r>
          </w:p>
          <w:p w:rsidR="00256DCA" w:rsidRPr="00256DCA" w:rsidRDefault="00256DCA" w:rsidP="00A16BCD">
            <w:pPr>
              <w:spacing w:after="60"/>
              <w:jc w:val="both"/>
              <w:rPr>
                <w:rFonts w:ascii="Arial" w:hAnsi="Arial" w:cs="Arial"/>
                <w:sz w:val="22"/>
              </w:rPr>
            </w:pPr>
            <w:r w:rsidRPr="00256DCA">
              <w:rPr>
                <w:rFonts w:ascii="Arial" w:hAnsi="Arial" w:cs="Arial"/>
                <w:sz w:val="22"/>
              </w:rPr>
              <w:t>Rispetto ad una spesa per investimenti fissi lordi nel 2014 pari a 36 miliardi di euro, viene previsto un aumento di 678 milioni nel 2015, di 1.656 milioni nel 2016 e di 926 milioni nel 2017 (per complessivi 3,3 miliardi). Nello stesso periodo la spesa corrente, al netto degli intere</w:t>
            </w:r>
            <w:r w:rsidRPr="00256DCA">
              <w:rPr>
                <w:rFonts w:ascii="Arial" w:hAnsi="Arial" w:cs="Arial"/>
                <w:sz w:val="22"/>
              </w:rPr>
              <w:t>s</w:t>
            </w:r>
            <w:r w:rsidRPr="00256DCA">
              <w:rPr>
                <w:rFonts w:ascii="Arial" w:hAnsi="Arial" w:cs="Arial"/>
                <w:sz w:val="22"/>
              </w:rPr>
              <w:t>si sul debito, è prevista aumentare di circa 23 miliardi.</w:t>
            </w:r>
          </w:p>
          <w:p w:rsidR="00256DCA" w:rsidRPr="00256DCA" w:rsidRDefault="00256DCA" w:rsidP="00A16BCD">
            <w:pPr>
              <w:spacing w:after="60"/>
              <w:jc w:val="both"/>
              <w:rPr>
                <w:rFonts w:ascii="Arial" w:hAnsi="Arial" w:cs="Arial"/>
                <w:b/>
                <w:sz w:val="22"/>
              </w:rPr>
            </w:pPr>
            <w:r w:rsidRPr="00256DCA">
              <w:rPr>
                <w:rFonts w:ascii="Arial" w:hAnsi="Arial" w:cs="Arial"/>
                <w:b/>
                <w:sz w:val="22"/>
              </w:rPr>
              <w:t>Continuano a ripetersi scelte già viste, che non incidono sulla spesa corrente.</w:t>
            </w:r>
          </w:p>
          <w:p w:rsidR="00256DCA" w:rsidRPr="00256DCA" w:rsidRDefault="00256DCA" w:rsidP="00A16BCD">
            <w:pPr>
              <w:spacing w:after="100"/>
              <w:jc w:val="both"/>
              <w:rPr>
                <w:rFonts w:ascii="Arial" w:hAnsi="Arial" w:cs="Arial"/>
                <w:sz w:val="22"/>
                <w:szCs w:val="24"/>
              </w:rPr>
            </w:pPr>
            <w:r w:rsidRPr="00256DCA">
              <w:rPr>
                <w:rFonts w:ascii="Arial" w:hAnsi="Arial" w:cs="Arial"/>
                <w:sz w:val="22"/>
              </w:rPr>
              <w:t>Serve il coraggio di investire sulla ripresa e, quindi, sull’edilizia, attr</w:t>
            </w:r>
            <w:r w:rsidRPr="00256DCA">
              <w:rPr>
                <w:rFonts w:ascii="Arial" w:hAnsi="Arial" w:cs="Arial"/>
                <w:sz w:val="22"/>
              </w:rPr>
              <w:t>a</w:t>
            </w:r>
            <w:r w:rsidRPr="00256DCA">
              <w:rPr>
                <w:rFonts w:ascii="Arial" w:hAnsi="Arial" w:cs="Arial"/>
                <w:sz w:val="22"/>
              </w:rPr>
              <w:t>verso una manovra di rilancio delle infrastrutture, in grado di sostenere in modo consistente la ripresa e la crescita dell’economia e di dete</w:t>
            </w:r>
            <w:r w:rsidRPr="00256DCA">
              <w:rPr>
                <w:rFonts w:ascii="Arial" w:hAnsi="Arial" w:cs="Arial"/>
                <w:sz w:val="22"/>
              </w:rPr>
              <w:t>r</w:t>
            </w:r>
            <w:r w:rsidRPr="00256DCA">
              <w:rPr>
                <w:rFonts w:ascii="Arial" w:hAnsi="Arial" w:cs="Arial"/>
                <w:sz w:val="22"/>
              </w:rPr>
              <w:t>minare un rilevante aumento di occupazione.</w:t>
            </w:r>
          </w:p>
        </w:tc>
      </w:tr>
      <w:tr w:rsidR="00256DCA" w:rsidRPr="002B3085" w:rsidTr="00A16BCD">
        <w:trPr>
          <w:jc w:val="center"/>
        </w:trPr>
        <w:tc>
          <w:tcPr>
            <w:tcW w:w="1698" w:type="dxa"/>
            <w:tcBorders>
              <w:top w:val="nil"/>
              <w:left w:val="nil"/>
              <w:bottom w:val="nil"/>
              <w:right w:val="nil"/>
            </w:tcBorders>
          </w:tcPr>
          <w:p w:rsidR="00256DCA" w:rsidRPr="002B3085" w:rsidRDefault="00256DCA" w:rsidP="00A16BCD">
            <w:pPr>
              <w:suppressAutoHyphens/>
              <w:spacing w:after="120"/>
              <w:rPr>
                <w:rFonts w:ascii="Arial" w:hAnsi="Arial" w:cs="Arial"/>
                <w:b/>
                <w:color w:val="000080"/>
              </w:rPr>
            </w:pPr>
            <w:r w:rsidRPr="002B3085">
              <w:rPr>
                <w:rFonts w:ascii="Arial" w:hAnsi="Arial" w:cs="Arial"/>
                <w:b/>
                <w:color w:val="000080"/>
              </w:rPr>
              <w:t>Priorità: rischio idrogeologico, scuole e città</w:t>
            </w:r>
          </w:p>
        </w:tc>
        <w:tc>
          <w:tcPr>
            <w:tcW w:w="7099" w:type="dxa"/>
            <w:tcBorders>
              <w:top w:val="nil"/>
              <w:left w:val="nil"/>
              <w:bottom w:val="nil"/>
              <w:right w:val="nil"/>
            </w:tcBorders>
          </w:tcPr>
          <w:p w:rsidR="00256DCA" w:rsidRPr="00256DCA" w:rsidRDefault="00256DCA" w:rsidP="00A16BCD">
            <w:pPr>
              <w:spacing w:after="100"/>
              <w:jc w:val="both"/>
              <w:rPr>
                <w:rFonts w:ascii="Arial" w:hAnsi="Arial" w:cs="Arial"/>
                <w:sz w:val="22"/>
                <w:szCs w:val="24"/>
              </w:rPr>
            </w:pPr>
            <w:r w:rsidRPr="00256DCA">
              <w:rPr>
                <w:rFonts w:ascii="Arial" w:hAnsi="Arial" w:cs="Arial"/>
                <w:sz w:val="22"/>
                <w:szCs w:val="24"/>
              </w:rPr>
              <w:t>Il primo passo per una nuova politica per le infrastrutture è quello di offrire certezza ai programmi previsti per la messa in sicurezza del te</w:t>
            </w:r>
            <w:r w:rsidRPr="00256DCA">
              <w:rPr>
                <w:rFonts w:ascii="Arial" w:hAnsi="Arial" w:cs="Arial"/>
                <w:sz w:val="22"/>
                <w:szCs w:val="24"/>
              </w:rPr>
              <w:t>r</w:t>
            </w:r>
            <w:r w:rsidRPr="00256DCA">
              <w:rPr>
                <w:rFonts w:ascii="Arial" w:hAnsi="Arial" w:cs="Arial"/>
                <w:sz w:val="22"/>
                <w:szCs w:val="24"/>
              </w:rPr>
              <w:t>ritorio e il benessere della collettività (rischio idrogeologico, scuole, fondi strutturali europei, ecc.).</w:t>
            </w:r>
          </w:p>
        </w:tc>
      </w:tr>
      <w:tr w:rsidR="00256DCA" w:rsidRPr="002B3085" w:rsidTr="00A16BCD">
        <w:trPr>
          <w:jc w:val="center"/>
        </w:trPr>
        <w:tc>
          <w:tcPr>
            <w:tcW w:w="1698" w:type="dxa"/>
            <w:tcBorders>
              <w:top w:val="nil"/>
              <w:left w:val="nil"/>
              <w:bottom w:val="nil"/>
              <w:right w:val="nil"/>
            </w:tcBorders>
          </w:tcPr>
          <w:p w:rsidR="00256DCA" w:rsidRPr="002B3085" w:rsidRDefault="00256DCA" w:rsidP="00A16BCD">
            <w:pPr>
              <w:suppressAutoHyphens/>
              <w:spacing w:after="120"/>
              <w:rPr>
                <w:rFonts w:ascii="Arial" w:hAnsi="Arial" w:cs="Arial"/>
                <w:b/>
                <w:color w:val="000080"/>
              </w:rPr>
            </w:pPr>
            <w:r w:rsidRPr="002B3085">
              <w:rPr>
                <w:rFonts w:ascii="Arial" w:hAnsi="Arial" w:cs="Arial"/>
                <w:b/>
                <w:color w:val="000080"/>
              </w:rPr>
              <w:t xml:space="preserve">Elevato rischio sismico e idrogeologico in </w:t>
            </w:r>
            <w:r>
              <w:rPr>
                <w:rFonts w:ascii="Arial" w:hAnsi="Arial" w:cs="Arial"/>
                <w:b/>
                <w:color w:val="000080"/>
              </w:rPr>
              <w:t>Emilia Romagna</w:t>
            </w:r>
          </w:p>
        </w:tc>
        <w:tc>
          <w:tcPr>
            <w:tcW w:w="7099" w:type="dxa"/>
            <w:tcBorders>
              <w:top w:val="nil"/>
              <w:left w:val="nil"/>
              <w:bottom w:val="nil"/>
              <w:right w:val="nil"/>
            </w:tcBorders>
          </w:tcPr>
          <w:p w:rsidR="00256DCA" w:rsidRPr="00256DCA" w:rsidRDefault="00256DCA" w:rsidP="00A16BCD">
            <w:pPr>
              <w:spacing w:after="100"/>
              <w:jc w:val="both"/>
              <w:rPr>
                <w:rFonts w:ascii="Arial" w:hAnsi="Arial" w:cs="Arial"/>
                <w:sz w:val="22"/>
                <w:szCs w:val="24"/>
              </w:rPr>
            </w:pPr>
            <w:r w:rsidRPr="00256DCA">
              <w:rPr>
                <w:rFonts w:ascii="Arial" w:hAnsi="Arial" w:cs="Arial"/>
                <w:sz w:val="22"/>
                <w:szCs w:val="24"/>
              </w:rPr>
              <w:t>I frequenti eventi catastrofici che hanno interessato il nostro territorio negli ultimi tempi dimostrano, infatti, come il risanamento idrogeolog</w:t>
            </w:r>
            <w:r w:rsidRPr="00256DCA">
              <w:rPr>
                <w:rFonts w:ascii="Arial" w:hAnsi="Arial" w:cs="Arial"/>
                <w:sz w:val="22"/>
                <w:szCs w:val="24"/>
              </w:rPr>
              <w:t>i</w:t>
            </w:r>
            <w:r w:rsidRPr="00256DCA">
              <w:rPr>
                <w:rFonts w:ascii="Arial" w:hAnsi="Arial" w:cs="Arial"/>
                <w:sz w:val="22"/>
                <w:szCs w:val="24"/>
              </w:rPr>
              <w:t xml:space="preserve">co del territorio e la messa in sicurezza del patrimonio siano questioni prioritarie per il Paese. </w:t>
            </w:r>
          </w:p>
          <w:p w:rsidR="00256DCA" w:rsidRPr="00256DCA" w:rsidRDefault="00256DCA" w:rsidP="00A16BCD">
            <w:pPr>
              <w:spacing w:after="100"/>
              <w:jc w:val="both"/>
              <w:rPr>
                <w:rFonts w:ascii="Arial" w:hAnsi="Arial" w:cs="Arial"/>
                <w:sz w:val="22"/>
                <w:szCs w:val="24"/>
              </w:rPr>
            </w:pPr>
            <w:r w:rsidRPr="00256DCA">
              <w:rPr>
                <w:rFonts w:ascii="Arial" w:hAnsi="Arial" w:cs="Arial"/>
                <w:sz w:val="22"/>
                <w:szCs w:val="24"/>
              </w:rPr>
              <w:t xml:space="preserve">Anche l’Emilia Romagna è caratterizzata </w:t>
            </w:r>
            <w:r w:rsidRPr="00256DCA">
              <w:rPr>
                <w:rFonts w:ascii="Arial" w:hAnsi="Arial" w:cs="Arial"/>
                <w:b/>
                <w:sz w:val="22"/>
                <w:szCs w:val="24"/>
              </w:rPr>
              <w:t>da un’elevata criticità idr</w:t>
            </w:r>
            <w:r w:rsidRPr="00256DCA">
              <w:rPr>
                <w:rFonts w:ascii="Arial" w:hAnsi="Arial" w:cs="Arial"/>
                <w:b/>
                <w:sz w:val="22"/>
                <w:szCs w:val="24"/>
              </w:rPr>
              <w:t>o</w:t>
            </w:r>
            <w:r w:rsidRPr="00256DCA">
              <w:rPr>
                <w:rFonts w:ascii="Arial" w:hAnsi="Arial" w:cs="Arial"/>
                <w:b/>
                <w:sz w:val="22"/>
                <w:szCs w:val="24"/>
              </w:rPr>
              <w:t>geologica</w:t>
            </w:r>
            <w:r w:rsidRPr="00256DCA">
              <w:rPr>
                <w:rFonts w:ascii="Arial" w:hAnsi="Arial" w:cs="Arial"/>
                <w:sz w:val="22"/>
                <w:szCs w:val="24"/>
              </w:rPr>
              <w:t xml:space="preserve"> come confermato dalla ricerca Ance-</w:t>
            </w:r>
            <w:proofErr w:type="spellStart"/>
            <w:r w:rsidRPr="00256DCA">
              <w:rPr>
                <w:rFonts w:ascii="Arial" w:hAnsi="Arial" w:cs="Arial"/>
                <w:sz w:val="22"/>
                <w:szCs w:val="24"/>
              </w:rPr>
              <w:t>Cresme</w:t>
            </w:r>
            <w:proofErr w:type="spellEnd"/>
            <w:r w:rsidRPr="00256DCA">
              <w:rPr>
                <w:rFonts w:ascii="Arial" w:hAnsi="Arial" w:cs="Arial"/>
                <w:sz w:val="22"/>
                <w:szCs w:val="24"/>
              </w:rPr>
              <w:t xml:space="preserve"> sullo Stato del territorio italiano (febbraio 2014) dalla quale emerge che nella r</w:t>
            </w:r>
            <w:r w:rsidRPr="00256DCA">
              <w:rPr>
                <w:rFonts w:ascii="Arial" w:hAnsi="Arial" w:cs="Arial"/>
                <w:sz w:val="22"/>
                <w:szCs w:val="24"/>
              </w:rPr>
              <w:t>e</w:t>
            </w:r>
            <w:r w:rsidRPr="00256DCA">
              <w:rPr>
                <w:rFonts w:ascii="Arial" w:hAnsi="Arial" w:cs="Arial"/>
                <w:sz w:val="22"/>
                <w:szCs w:val="24"/>
              </w:rPr>
              <w:t>gione le aree ad elevata criticità idrogeologica (rischio frana e/o all</w:t>
            </w:r>
            <w:r w:rsidRPr="00256DCA">
              <w:rPr>
                <w:rFonts w:ascii="Arial" w:hAnsi="Arial" w:cs="Arial"/>
                <w:sz w:val="22"/>
                <w:szCs w:val="24"/>
              </w:rPr>
              <w:t>u</w:t>
            </w:r>
            <w:r w:rsidRPr="00256DCA">
              <w:rPr>
                <w:rFonts w:ascii="Arial" w:hAnsi="Arial" w:cs="Arial"/>
                <w:sz w:val="22"/>
                <w:szCs w:val="24"/>
              </w:rPr>
              <w:t>vione) rappresentano il 19,2% della superficie della regione e rigua</w:t>
            </w:r>
            <w:r w:rsidRPr="00256DCA">
              <w:rPr>
                <w:rFonts w:ascii="Arial" w:hAnsi="Arial" w:cs="Arial"/>
                <w:sz w:val="22"/>
                <w:szCs w:val="24"/>
              </w:rPr>
              <w:t>r</w:t>
            </w:r>
            <w:r w:rsidRPr="00256DCA">
              <w:rPr>
                <w:rFonts w:ascii="Arial" w:hAnsi="Arial" w:cs="Arial"/>
                <w:sz w:val="22"/>
                <w:szCs w:val="24"/>
              </w:rPr>
              <w:t>dano il 88,2% dei comuni (307).</w:t>
            </w:r>
          </w:p>
          <w:p w:rsidR="00256DCA" w:rsidRPr="00256DCA" w:rsidRDefault="00256DCA" w:rsidP="00A16BCD">
            <w:pPr>
              <w:spacing w:after="100"/>
              <w:jc w:val="both"/>
              <w:rPr>
                <w:rFonts w:ascii="Arial" w:hAnsi="Arial" w:cs="Arial"/>
                <w:sz w:val="22"/>
                <w:szCs w:val="24"/>
              </w:rPr>
            </w:pPr>
            <w:r w:rsidRPr="00256DCA">
              <w:rPr>
                <w:rFonts w:ascii="Arial" w:hAnsi="Arial" w:cs="Arial"/>
                <w:sz w:val="22"/>
                <w:szCs w:val="24"/>
              </w:rPr>
              <w:t xml:space="preserve">Nelle aree ad elevato rischio sismico vivono circa 809.066 persone (18,5% della popolazione), per un totale di 370.627 famiglie. </w:t>
            </w:r>
          </w:p>
        </w:tc>
      </w:tr>
    </w:tbl>
    <w:p w:rsidR="00256DCA" w:rsidRPr="002B3085" w:rsidRDefault="00256DCA" w:rsidP="00256DCA">
      <w:pPr>
        <w:tabs>
          <w:tab w:val="left" w:pos="2277"/>
        </w:tabs>
        <w:spacing w:after="100"/>
        <w:jc w:val="center"/>
        <w:rPr>
          <w:rFonts w:ascii="Arial" w:hAnsi="Arial" w:cs="Arial"/>
          <w:szCs w:val="24"/>
        </w:rPr>
      </w:pPr>
      <w:r w:rsidRPr="00AB3D37">
        <w:rPr>
          <w:noProof/>
        </w:rPr>
        <w:drawing>
          <wp:inline distT="0" distB="0" distL="0" distR="0" wp14:anchorId="74B71FF7" wp14:editId="30522F42">
            <wp:extent cx="5598543" cy="1828800"/>
            <wp:effectExtent l="0" t="0" r="254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04367" cy="1830702"/>
                    </a:xfrm>
                    <a:prstGeom prst="rect">
                      <a:avLst/>
                    </a:prstGeom>
                    <a:noFill/>
                    <a:ln>
                      <a:noFill/>
                    </a:ln>
                  </pic:spPr>
                </pic:pic>
              </a:graphicData>
            </a:graphic>
          </wp:inline>
        </w:drawing>
      </w:r>
    </w:p>
    <w:tbl>
      <w:tblPr>
        <w:tblW w:w="8806" w:type="dxa"/>
        <w:jc w:val="center"/>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7"/>
        <w:gridCol w:w="7099"/>
      </w:tblGrid>
      <w:tr w:rsidR="00256DCA" w:rsidRPr="002B3085" w:rsidTr="00A16BCD">
        <w:trPr>
          <w:jc w:val="center"/>
        </w:trPr>
        <w:tc>
          <w:tcPr>
            <w:tcW w:w="1707" w:type="dxa"/>
            <w:tcBorders>
              <w:top w:val="nil"/>
              <w:left w:val="nil"/>
              <w:bottom w:val="nil"/>
              <w:right w:val="nil"/>
            </w:tcBorders>
          </w:tcPr>
          <w:p w:rsidR="00256DCA" w:rsidRPr="002B3085" w:rsidRDefault="00256DCA" w:rsidP="00A16BCD">
            <w:pPr>
              <w:spacing w:after="120"/>
              <w:rPr>
                <w:rFonts w:ascii="Arial" w:hAnsi="Arial" w:cs="Arial"/>
                <w:b/>
                <w:color w:val="000080"/>
              </w:rPr>
            </w:pPr>
            <w:r w:rsidRPr="002B3085">
              <w:rPr>
                <w:rFonts w:ascii="Arial" w:hAnsi="Arial" w:cs="Arial"/>
                <w:b/>
                <w:color w:val="000080"/>
              </w:rPr>
              <w:t>Piano nazione contro il diss</w:t>
            </w:r>
            <w:r w:rsidRPr="002B3085">
              <w:rPr>
                <w:rFonts w:ascii="Arial" w:hAnsi="Arial" w:cs="Arial"/>
                <w:b/>
                <w:color w:val="000080"/>
              </w:rPr>
              <w:t>e</w:t>
            </w:r>
            <w:r w:rsidRPr="002B3085">
              <w:rPr>
                <w:rFonts w:ascii="Arial" w:hAnsi="Arial" w:cs="Arial"/>
                <w:b/>
                <w:color w:val="000080"/>
              </w:rPr>
              <w:t>sto idrogeol</w:t>
            </w:r>
            <w:r w:rsidRPr="002B3085">
              <w:rPr>
                <w:rFonts w:ascii="Arial" w:hAnsi="Arial" w:cs="Arial"/>
                <w:b/>
                <w:color w:val="000080"/>
              </w:rPr>
              <w:t>o</w:t>
            </w:r>
            <w:r w:rsidRPr="002B3085">
              <w:rPr>
                <w:rFonts w:ascii="Arial" w:hAnsi="Arial" w:cs="Arial"/>
                <w:b/>
                <w:color w:val="000080"/>
              </w:rPr>
              <w:t>gico</w:t>
            </w:r>
          </w:p>
        </w:tc>
        <w:tc>
          <w:tcPr>
            <w:tcW w:w="7099" w:type="dxa"/>
            <w:tcBorders>
              <w:top w:val="nil"/>
              <w:left w:val="nil"/>
              <w:bottom w:val="nil"/>
              <w:right w:val="nil"/>
            </w:tcBorders>
          </w:tcPr>
          <w:p w:rsidR="00256DCA" w:rsidRPr="00256DCA" w:rsidRDefault="00256DCA" w:rsidP="00A16BCD">
            <w:pPr>
              <w:spacing w:after="100"/>
              <w:jc w:val="both"/>
              <w:rPr>
                <w:rFonts w:ascii="Arial" w:hAnsi="Arial" w:cs="Arial"/>
                <w:sz w:val="22"/>
                <w:szCs w:val="24"/>
              </w:rPr>
            </w:pPr>
            <w:r w:rsidRPr="00256DCA">
              <w:rPr>
                <w:rFonts w:ascii="Arial" w:hAnsi="Arial" w:cs="Arial"/>
                <w:sz w:val="22"/>
                <w:szCs w:val="24"/>
              </w:rPr>
              <w:t>Con riferimento al rischio idrogeologico il Governo, attraverso la</w:t>
            </w:r>
            <w:r w:rsidRPr="00256DCA">
              <w:rPr>
                <w:sz w:val="22"/>
              </w:rPr>
              <w:t xml:space="preserve"> </w:t>
            </w:r>
            <w:r w:rsidRPr="00256DCA">
              <w:rPr>
                <w:rFonts w:ascii="Arial" w:hAnsi="Arial" w:cs="Arial"/>
                <w:sz w:val="22"/>
                <w:szCs w:val="24"/>
              </w:rPr>
              <w:t>Stru</w:t>
            </w:r>
            <w:r w:rsidRPr="00256DCA">
              <w:rPr>
                <w:rFonts w:ascii="Arial" w:hAnsi="Arial" w:cs="Arial"/>
                <w:sz w:val="22"/>
                <w:szCs w:val="24"/>
              </w:rPr>
              <w:t>t</w:t>
            </w:r>
            <w:r w:rsidRPr="00256DCA">
              <w:rPr>
                <w:rFonts w:ascii="Arial" w:hAnsi="Arial" w:cs="Arial"/>
                <w:sz w:val="22"/>
                <w:szCs w:val="24"/>
              </w:rPr>
              <w:t>tura di missione presso la Presidenza del consiglio dei Ministri (</w:t>
            </w:r>
            <w:r w:rsidRPr="00256DCA">
              <w:rPr>
                <w:rFonts w:ascii="Arial" w:hAnsi="Arial" w:cs="Arial"/>
                <w:i/>
                <w:sz w:val="22"/>
                <w:szCs w:val="24"/>
              </w:rPr>
              <w:t>Italia Sicura</w:t>
            </w:r>
            <w:r w:rsidRPr="00256DCA">
              <w:rPr>
                <w:rFonts w:ascii="Arial" w:hAnsi="Arial" w:cs="Arial"/>
                <w:sz w:val="22"/>
                <w:szCs w:val="24"/>
              </w:rPr>
              <w:t xml:space="preserve">), ha annunciato la volontà di finanziare un </w:t>
            </w:r>
            <w:r w:rsidRPr="00256DCA">
              <w:rPr>
                <w:rFonts w:ascii="Arial" w:hAnsi="Arial" w:cs="Arial"/>
                <w:b/>
                <w:sz w:val="22"/>
                <w:szCs w:val="24"/>
              </w:rPr>
              <w:t>Piano nazionale contro il dissesto idrogeologico 2014-2020 per un importo co</w:t>
            </w:r>
            <w:r w:rsidRPr="00256DCA">
              <w:rPr>
                <w:rFonts w:ascii="Arial" w:hAnsi="Arial" w:cs="Arial"/>
                <w:b/>
                <w:sz w:val="22"/>
                <w:szCs w:val="24"/>
              </w:rPr>
              <w:t>m</w:t>
            </w:r>
            <w:r w:rsidRPr="00256DCA">
              <w:rPr>
                <w:rFonts w:ascii="Arial" w:hAnsi="Arial" w:cs="Arial"/>
                <w:b/>
                <w:sz w:val="22"/>
                <w:szCs w:val="24"/>
              </w:rPr>
              <w:t>plessivo di circa 9 miliardi di euro</w:t>
            </w:r>
            <w:r w:rsidRPr="00256DCA">
              <w:rPr>
                <w:rFonts w:ascii="Arial" w:hAnsi="Arial" w:cs="Arial"/>
                <w:sz w:val="22"/>
                <w:szCs w:val="24"/>
              </w:rPr>
              <w:t xml:space="preserve"> di cui 2 miliardi di fondi vecchi già disponibili e 7 miliardi di nuove risorse aggiuntive (5 miliardi prov</w:t>
            </w:r>
            <w:r w:rsidRPr="00256DCA">
              <w:rPr>
                <w:rFonts w:ascii="Arial" w:hAnsi="Arial" w:cs="Arial"/>
                <w:sz w:val="22"/>
                <w:szCs w:val="24"/>
              </w:rPr>
              <w:t>e</w:t>
            </w:r>
            <w:r w:rsidRPr="00256DCA">
              <w:rPr>
                <w:rFonts w:ascii="Arial" w:hAnsi="Arial" w:cs="Arial"/>
                <w:sz w:val="22"/>
                <w:szCs w:val="24"/>
              </w:rPr>
              <w:t>nienti dal FSC 2014-2020, da programmare entro aprile 2015, e 2 m</w:t>
            </w:r>
            <w:r w:rsidRPr="00256DCA">
              <w:rPr>
                <w:rFonts w:ascii="Arial" w:hAnsi="Arial" w:cs="Arial"/>
                <w:sz w:val="22"/>
                <w:szCs w:val="24"/>
              </w:rPr>
              <w:t>i</w:t>
            </w:r>
            <w:r w:rsidRPr="00256DCA">
              <w:rPr>
                <w:rFonts w:ascii="Arial" w:hAnsi="Arial" w:cs="Arial"/>
                <w:sz w:val="22"/>
                <w:szCs w:val="24"/>
              </w:rPr>
              <w:t xml:space="preserve">liardi dai fondi strutturali europei 2014-2020). </w:t>
            </w:r>
          </w:p>
          <w:p w:rsidR="00256DCA" w:rsidRPr="00256DCA" w:rsidRDefault="00256DCA" w:rsidP="00A16BCD">
            <w:pPr>
              <w:spacing w:after="100"/>
              <w:jc w:val="both"/>
              <w:rPr>
                <w:rFonts w:ascii="Arial" w:hAnsi="Arial" w:cs="Arial"/>
                <w:sz w:val="22"/>
                <w:szCs w:val="24"/>
              </w:rPr>
            </w:pPr>
            <w:r w:rsidRPr="00256DCA">
              <w:rPr>
                <w:rFonts w:ascii="Arial" w:hAnsi="Arial" w:cs="Arial"/>
                <w:sz w:val="22"/>
                <w:szCs w:val="24"/>
              </w:rPr>
              <w:t>Al fine di predisporre tale Piano, le Regioni hanno segnalato circa 6.900 interventi di messa in sicurezza del territorio per un valore di 26,2 miliardi di euro e un fabbisogno complessivo di 22 miliardi di e</w:t>
            </w:r>
            <w:r w:rsidRPr="00256DCA">
              <w:rPr>
                <w:rFonts w:ascii="Arial" w:hAnsi="Arial" w:cs="Arial"/>
                <w:sz w:val="22"/>
                <w:szCs w:val="24"/>
              </w:rPr>
              <w:t>u</w:t>
            </w:r>
            <w:r w:rsidRPr="00256DCA">
              <w:rPr>
                <w:rFonts w:ascii="Arial" w:hAnsi="Arial" w:cs="Arial"/>
                <w:sz w:val="22"/>
                <w:szCs w:val="24"/>
              </w:rPr>
              <w:t>ro.</w:t>
            </w:r>
          </w:p>
          <w:p w:rsidR="00256DCA" w:rsidRPr="00256DCA" w:rsidRDefault="00256DCA" w:rsidP="00A16BCD">
            <w:pPr>
              <w:spacing w:after="100"/>
              <w:jc w:val="both"/>
              <w:rPr>
                <w:rFonts w:ascii="Arial" w:hAnsi="Arial" w:cs="Arial"/>
                <w:sz w:val="22"/>
                <w:szCs w:val="24"/>
              </w:rPr>
            </w:pPr>
            <w:r w:rsidRPr="00256DCA">
              <w:rPr>
                <w:rFonts w:ascii="Arial" w:hAnsi="Arial" w:cs="Arial"/>
                <w:sz w:val="22"/>
                <w:szCs w:val="24"/>
              </w:rPr>
              <w:t>Di questi, oltre l’80% (pari a circa 18 miliardi di euro) è fermo allo st</w:t>
            </w:r>
            <w:r w:rsidRPr="00256DCA">
              <w:rPr>
                <w:rFonts w:ascii="Arial" w:hAnsi="Arial" w:cs="Arial"/>
                <w:sz w:val="22"/>
                <w:szCs w:val="24"/>
              </w:rPr>
              <w:t>u</w:t>
            </w:r>
            <w:r w:rsidRPr="00256DCA">
              <w:rPr>
                <w:rFonts w:ascii="Arial" w:hAnsi="Arial" w:cs="Arial"/>
                <w:sz w:val="22"/>
                <w:szCs w:val="24"/>
              </w:rPr>
              <w:t xml:space="preserve">dio di fattibilità o al progetto preliminare. </w:t>
            </w:r>
          </w:p>
          <w:p w:rsidR="00256DCA" w:rsidRPr="00256DCA" w:rsidRDefault="00256DCA" w:rsidP="00A16BCD">
            <w:pPr>
              <w:spacing w:after="100"/>
              <w:jc w:val="both"/>
              <w:rPr>
                <w:rFonts w:ascii="Arial" w:hAnsi="Arial" w:cs="Arial"/>
                <w:sz w:val="22"/>
                <w:szCs w:val="24"/>
              </w:rPr>
            </w:pPr>
            <w:r w:rsidRPr="00256DCA">
              <w:rPr>
                <w:rFonts w:ascii="Arial" w:hAnsi="Arial" w:cs="Arial"/>
                <w:sz w:val="22"/>
                <w:szCs w:val="24"/>
              </w:rPr>
              <w:t>Solo il restante 20% dei progetti, pari a circa 4,2 miliardi di euro di fabbisogno finanziario, è relativo ad interventi dotati di un livello di progettazione avanzato, vale a dire di progettazione definitiva ed es</w:t>
            </w:r>
            <w:r w:rsidRPr="00256DCA">
              <w:rPr>
                <w:rFonts w:ascii="Arial" w:hAnsi="Arial" w:cs="Arial"/>
                <w:sz w:val="22"/>
                <w:szCs w:val="24"/>
              </w:rPr>
              <w:t>e</w:t>
            </w:r>
            <w:r w:rsidRPr="00256DCA">
              <w:rPr>
                <w:rFonts w:ascii="Arial" w:hAnsi="Arial" w:cs="Arial"/>
                <w:sz w:val="22"/>
                <w:szCs w:val="24"/>
              </w:rPr>
              <w:t>cutiva che potrebbero essere avviati già nel 2015.</w:t>
            </w:r>
          </w:p>
          <w:p w:rsidR="00256DCA" w:rsidRPr="00256DCA" w:rsidRDefault="00256DCA" w:rsidP="00A16BCD">
            <w:pPr>
              <w:spacing w:after="100"/>
              <w:jc w:val="both"/>
              <w:rPr>
                <w:rFonts w:ascii="Arial" w:hAnsi="Arial" w:cs="Arial"/>
                <w:sz w:val="22"/>
                <w:szCs w:val="24"/>
              </w:rPr>
            </w:pPr>
            <w:r w:rsidRPr="00256DCA">
              <w:rPr>
                <w:rFonts w:ascii="Arial" w:hAnsi="Arial" w:cs="Arial"/>
                <w:sz w:val="22"/>
                <w:szCs w:val="24"/>
              </w:rPr>
              <w:t>In particolare, la Regione Emilia Romagna ha segnalato alla Struttura di missione 326 interventi per un valore complessivo di 1.024 milioni di euro e un fabbisogno finanziario di 901 milioni di euro. Il 6% degli i</w:t>
            </w:r>
            <w:r w:rsidRPr="00256DCA">
              <w:rPr>
                <w:rFonts w:ascii="Arial" w:hAnsi="Arial" w:cs="Arial"/>
                <w:sz w:val="22"/>
                <w:szCs w:val="24"/>
              </w:rPr>
              <w:t>n</w:t>
            </w:r>
            <w:r w:rsidRPr="00256DCA">
              <w:rPr>
                <w:rFonts w:ascii="Arial" w:hAnsi="Arial" w:cs="Arial"/>
                <w:sz w:val="22"/>
                <w:szCs w:val="24"/>
              </w:rPr>
              <w:t>terventi segnalati, pari ad un fabbisogno di circa 80 milioni di euro, è dotato di progetti esecutivi e definitivi. Il restante 94% dei progetti è fermo allo studio di fattibilità e al progetto preliminare.</w:t>
            </w:r>
          </w:p>
        </w:tc>
      </w:tr>
    </w:tbl>
    <w:p w:rsidR="00256DCA" w:rsidRPr="002B3085" w:rsidRDefault="00256DCA" w:rsidP="00256DCA">
      <w:r w:rsidRPr="00585E30">
        <w:rPr>
          <w:noProof/>
        </w:rPr>
        <w:drawing>
          <wp:inline distT="0" distB="0" distL="0" distR="0" wp14:anchorId="5BEBB970" wp14:editId="7D35DBF2">
            <wp:extent cx="5648325" cy="2428469"/>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47661" cy="2428183"/>
                    </a:xfrm>
                    <a:prstGeom prst="rect">
                      <a:avLst/>
                    </a:prstGeom>
                    <a:noFill/>
                    <a:ln>
                      <a:noFill/>
                    </a:ln>
                  </pic:spPr>
                </pic:pic>
              </a:graphicData>
            </a:graphic>
          </wp:inline>
        </w:drawing>
      </w:r>
    </w:p>
    <w:tbl>
      <w:tblPr>
        <w:tblW w:w="8806" w:type="dxa"/>
        <w:jc w:val="center"/>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7"/>
        <w:gridCol w:w="7099"/>
      </w:tblGrid>
      <w:tr w:rsidR="00256DCA" w:rsidRPr="002B3085" w:rsidTr="00A16BCD">
        <w:trPr>
          <w:jc w:val="center"/>
        </w:trPr>
        <w:tc>
          <w:tcPr>
            <w:tcW w:w="1707" w:type="dxa"/>
            <w:tcBorders>
              <w:top w:val="nil"/>
              <w:left w:val="nil"/>
              <w:bottom w:val="nil"/>
              <w:right w:val="nil"/>
            </w:tcBorders>
          </w:tcPr>
          <w:p w:rsidR="00256DCA" w:rsidRPr="002B3085" w:rsidRDefault="00256DCA" w:rsidP="00A16BCD">
            <w:pPr>
              <w:spacing w:after="120"/>
              <w:rPr>
                <w:rFonts w:ascii="Arial" w:hAnsi="Arial" w:cs="Arial"/>
                <w:b/>
                <w:color w:val="000080"/>
              </w:rPr>
            </w:pPr>
          </w:p>
        </w:tc>
        <w:tc>
          <w:tcPr>
            <w:tcW w:w="7099" w:type="dxa"/>
            <w:tcBorders>
              <w:top w:val="nil"/>
              <w:left w:val="nil"/>
              <w:bottom w:val="nil"/>
              <w:right w:val="nil"/>
            </w:tcBorders>
          </w:tcPr>
          <w:p w:rsidR="00256DCA" w:rsidRPr="00256DCA" w:rsidRDefault="00256DCA" w:rsidP="00A16BCD">
            <w:pPr>
              <w:spacing w:after="120"/>
              <w:jc w:val="both"/>
              <w:rPr>
                <w:rFonts w:ascii="Arial" w:hAnsi="Arial" w:cs="Arial"/>
                <w:b/>
                <w:sz w:val="22"/>
                <w:szCs w:val="24"/>
              </w:rPr>
            </w:pPr>
            <w:r w:rsidRPr="00256DCA">
              <w:rPr>
                <w:rFonts w:ascii="Arial" w:hAnsi="Arial" w:cs="Arial"/>
                <w:sz w:val="22"/>
                <w:szCs w:val="24"/>
              </w:rPr>
              <w:t xml:space="preserve">Accanto alla carenza di progetti pronti </w:t>
            </w:r>
            <w:r w:rsidRPr="00256DCA">
              <w:rPr>
                <w:rFonts w:ascii="Arial" w:hAnsi="Arial" w:cs="Arial"/>
                <w:b/>
                <w:sz w:val="22"/>
                <w:szCs w:val="24"/>
              </w:rPr>
              <w:t>rimane l’incertezza in merito alle risorse da destinare al piano nazionale contro il dissesto idrogeologico.</w:t>
            </w:r>
          </w:p>
          <w:p w:rsidR="00256DCA" w:rsidRPr="00256DCA" w:rsidRDefault="00256DCA" w:rsidP="00A16BCD">
            <w:pPr>
              <w:spacing w:after="120"/>
              <w:jc w:val="both"/>
              <w:rPr>
                <w:rFonts w:ascii="Arial" w:hAnsi="Arial" w:cs="Arial"/>
                <w:sz w:val="22"/>
                <w:szCs w:val="24"/>
              </w:rPr>
            </w:pPr>
            <w:r w:rsidRPr="00256DCA">
              <w:rPr>
                <w:rFonts w:ascii="Arial" w:hAnsi="Arial" w:cs="Arial"/>
                <w:sz w:val="22"/>
                <w:szCs w:val="24"/>
              </w:rPr>
              <w:t>Occorrerà attendere la delibera del Comitato interministeriale per la programmazione economica (CIPE), prevista entro l’estate, che defin</w:t>
            </w:r>
            <w:r w:rsidRPr="00256DCA">
              <w:rPr>
                <w:rFonts w:ascii="Arial" w:hAnsi="Arial" w:cs="Arial"/>
                <w:sz w:val="22"/>
                <w:szCs w:val="24"/>
              </w:rPr>
              <w:t>i</w:t>
            </w:r>
            <w:r w:rsidRPr="00256DCA">
              <w:rPr>
                <w:rFonts w:ascii="Arial" w:hAnsi="Arial" w:cs="Arial"/>
                <w:sz w:val="22"/>
                <w:szCs w:val="24"/>
              </w:rPr>
              <w:t>rà gli ambiti strategici di ripartizione del Fondo Sviluppo e Coesione.</w:t>
            </w:r>
          </w:p>
          <w:p w:rsidR="00256DCA" w:rsidRPr="00256DCA" w:rsidRDefault="00256DCA" w:rsidP="00A16BCD">
            <w:pPr>
              <w:spacing w:after="120"/>
              <w:jc w:val="both"/>
              <w:rPr>
                <w:rFonts w:ascii="Arial" w:hAnsi="Arial" w:cs="Arial"/>
                <w:sz w:val="22"/>
                <w:szCs w:val="24"/>
              </w:rPr>
            </w:pPr>
            <w:r w:rsidRPr="00256DCA">
              <w:rPr>
                <w:rFonts w:ascii="Arial" w:hAnsi="Arial" w:cs="Arial"/>
                <w:sz w:val="22"/>
                <w:szCs w:val="24"/>
              </w:rPr>
              <w:t>Al riguardo, si aspetta ancora la conferma dei 7 miliardi di euro della programmazione del Fondo Sviluppo e Coesione da destinare alla r</w:t>
            </w:r>
            <w:r w:rsidRPr="00256DCA">
              <w:rPr>
                <w:rFonts w:ascii="Arial" w:hAnsi="Arial" w:cs="Arial"/>
                <w:sz w:val="22"/>
                <w:szCs w:val="24"/>
              </w:rPr>
              <w:t>i</w:t>
            </w:r>
            <w:r w:rsidRPr="00256DCA">
              <w:rPr>
                <w:rFonts w:ascii="Arial" w:hAnsi="Arial" w:cs="Arial"/>
                <w:sz w:val="22"/>
                <w:szCs w:val="24"/>
              </w:rPr>
              <w:t xml:space="preserve">duzione del rischio idrogeologico. </w:t>
            </w:r>
          </w:p>
          <w:p w:rsidR="00256DCA" w:rsidRPr="00256DCA" w:rsidRDefault="00256DCA" w:rsidP="00A16BCD">
            <w:pPr>
              <w:spacing w:after="100"/>
              <w:jc w:val="both"/>
              <w:rPr>
                <w:rFonts w:ascii="Arial" w:hAnsi="Arial" w:cs="Arial"/>
                <w:sz w:val="22"/>
                <w:szCs w:val="24"/>
              </w:rPr>
            </w:pPr>
            <w:r w:rsidRPr="00256DCA">
              <w:rPr>
                <w:rFonts w:ascii="Arial" w:hAnsi="Arial" w:cs="Arial"/>
                <w:sz w:val="22"/>
                <w:szCs w:val="24"/>
              </w:rPr>
              <w:t>Solo con un quadro certo delle risorse sarà possibile evitare gli errori commessi in passato con l’attuazione degli Accordi di programma tra le Regioni e il Ministero dell’Ambiente nell’ambito del Programma straordinario per la mitigazione del rischio idrogeologico del 2010, per il quale l’incertezza della disponibilità delle risorse ha costituito una delle cause principali dei gravi ritardi riscontrati nell’attuazione del programma di investimento.</w:t>
            </w:r>
          </w:p>
        </w:tc>
      </w:tr>
      <w:tr w:rsidR="00256DCA" w:rsidRPr="002B3085" w:rsidTr="00A16BCD">
        <w:trPr>
          <w:jc w:val="center"/>
        </w:trPr>
        <w:tc>
          <w:tcPr>
            <w:tcW w:w="1707" w:type="dxa"/>
            <w:tcBorders>
              <w:top w:val="nil"/>
              <w:left w:val="nil"/>
              <w:bottom w:val="nil"/>
              <w:right w:val="nil"/>
            </w:tcBorders>
          </w:tcPr>
          <w:p w:rsidR="00256DCA" w:rsidRPr="002B3085" w:rsidRDefault="00256DCA" w:rsidP="00A16BCD">
            <w:pPr>
              <w:spacing w:after="120"/>
              <w:rPr>
                <w:rFonts w:ascii="Arial" w:hAnsi="Arial" w:cs="Arial"/>
                <w:b/>
                <w:color w:val="000080"/>
              </w:rPr>
            </w:pPr>
            <w:r w:rsidRPr="002B3085">
              <w:rPr>
                <w:rFonts w:ascii="Arial" w:hAnsi="Arial" w:cs="Arial"/>
                <w:b/>
                <w:color w:val="000080"/>
              </w:rPr>
              <w:t xml:space="preserve">La situazione del patrimonio scolastico in </w:t>
            </w:r>
            <w:r>
              <w:rPr>
                <w:rFonts w:ascii="Arial" w:hAnsi="Arial" w:cs="Arial"/>
                <w:b/>
                <w:color w:val="000080"/>
              </w:rPr>
              <w:t>Emilia Rom</w:t>
            </w:r>
            <w:r>
              <w:rPr>
                <w:rFonts w:ascii="Arial" w:hAnsi="Arial" w:cs="Arial"/>
                <w:b/>
                <w:color w:val="000080"/>
              </w:rPr>
              <w:t>a</w:t>
            </w:r>
            <w:r>
              <w:rPr>
                <w:rFonts w:ascii="Arial" w:hAnsi="Arial" w:cs="Arial"/>
                <w:b/>
                <w:color w:val="000080"/>
              </w:rPr>
              <w:t>gna</w:t>
            </w:r>
          </w:p>
          <w:p w:rsidR="00256DCA" w:rsidRPr="002B3085" w:rsidRDefault="00256DCA" w:rsidP="00A16BCD">
            <w:pPr>
              <w:spacing w:after="120"/>
              <w:rPr>
                <w:rFonts w:ascii="Arial" w:hAnsi="Arial" w:cs="Arial"/>
                <w:b/>
                <w:color w:val="000080"/>
              </w:rPr>
            </w:pPr>
          </w:p>
        </w:tc>
        <w:tc>
          <w:tcPr>
            <w:tcW w:w="7099" w:type="dxa"/>
            <w:tcBorders>
              <w:top w:val="nil"/>
              <w:left w:val="nil"/>
              <w:bottom w:val="nil"/>
              <w:right w:val="nil"/>
            </w:tcBorders>
          </w:tcPr>
          <w:p w:rsidR="00256DCA" w:rsidRPr="00256DCA" w:rsidRDefault="00256DCA" w:rsidP="00A16BCD">
            <w:pPr>
              <w:spacing w:after="120"/>
              <w:jc w:val="both"/>
              <w:rPr>
                <w:rFonts w:ascii="Arial" w:hAnsi="Arial" w:cs="Arial"/>
                <w:sz w:val="22"/>
                <w:szCs w:val="24"/>
              </w:rPr>
            </w:pPr>
            <w:r w:rsidRPr="00256DCA">
              <w:rPr>
                <w:rFonts w:ascii="Arial" w:hAnsi="Arial" w:cs="Arial"/>
                <w:sz w:val="22"/>
                <w:szCs w:val="24"/>
              </w:rPr>
              <w:t>In merito all’edilizia scolastica, la necessità di un intervento urgente per la messa in sicurezza delle scuole emerge in modo preoccupante dalla vetustà e dall’elevato livello di esposizione al rischio del patrim</w:t>
            </w:r>
            <w:r w:rsidRPr="00256DCA">
              <w:rPr>
                <w:rFonts w:ascii="Arial" w:hAnsi="Arial" w:cs="Arial"/>
                <w:sz w:val="22"/>
                <w:szCs w:val="24"/>
              </w:rPr>
              <w:t>o</w:t>
            </w:r>
            <w:r w:rsidRPr="00256DCA">
              <w:rPr>
                <w:rFonts w:ascii="Arial" w:hAnsi="Arial" w:cs="Arial"/>
                <w:sz w:val="22"/>
                <w:szCs w:val="24"/>
              </w:rPr>
              <w:t>nio scolastico esistente: oltre la metà degli edifici scolastici, infatti, è stato costruito prima dell’entrata in vigore della normativa antisismica per nuove costruzioni (1974); inoltre, secondo il rapporto Ance-</w:t>
            </w:r>
            <w:proofErr w:type="spellStart"/>
            <w:r w:rsidRPr="00256DCA">
              <w:rPr>
                <w:rFonts w:ascii="Arial" w:hAnsi="Arial" w:cs="Arial"/>
                <w:sz w:val="22"/>
                <w:szCs w:val="24"/>
              </w:rPr>
              <w:t>Cresme</w:t>
            </w:r>
            <w:proofErr w:type="spellEnd"/>
            <w:r w:rsidRPr="00256DCA">
              <w:rPr>
                <w:rFonts w:ascii="Arial" w:hAnsi="Arial" w:cs="Arial"/>
                <w:sz w:val="22"/>
                <w:szCs w:val="24"/>
              </w:rPr>
              <w:t xml:space="preserve"> sullo Stato del territorio italiano, oltre 24 mila scuole si trovano in aree a elevato rischio sismico e circa 6.250 sorgono in aree a forte rischio idrogeologico.</w:t>
            </w:r>
          </w:p>
          <w:p w:rsidR="00256DCA" w:rsidRPr="00256DCA" w:rsidRDefault="00256DCA" w:rsidP="00A16BCD">
            <w:pPr>
              <w:spacing w:after="120"/>
              <w:jc w:val="both"/>
              <w:rPr>
                <w:rFonts w:ascii="Arial" w:hAnsi="Arial" w:cs="Arial"/>
                <w:b/>
                <w:sz w:val="22"/>
                <w:szCs w:val="24"/>
              </w:rPr>
            </w:pPr>
            <w:r w:rsidRPr="00256DCA">
              <w:rPr>
                <w:rFonts w:ascii="Arial" w:hAnsi="Arial" w:cs="Arial"/>
                <w:sz w:val="22"/>
                <w:szCs w:val="24"/>
              </w:rPr>
              <w:t xml:space="preserve">In Emilia Romagna, sono </w:t>
            </w:r>
            <w:r w:rsidRPr="00256DCA">
              <w:rPr>
                <w:rFonts w:ascii="Arial" w:hAnsi="Arial" w:cs="Arial"/>
                <w:b/>
                <w:sz w:val="22"/>
                <w:szCs w:val="24"/>
              </w:rPr>
              <w:t>1.367 gli edifici scolastici esposti al r</w:t>
            </w:r>
            <w:r w:rsidRPr="00256DCA">
              <w:rPr>
                <w:rFonts w:ascii="Arial" w:hAnsi="Arial" w:cs="Arial"/>
                <w:b/>
                <w:sz w:val="22"/>
                <w:szCs w:val="24"/>
              </w:rPr>
              <w:t>i</w:t>
            </w:r>
            <w:r w:rsidRPr="00256DCA">
              <w:rPr>
                <w:rFonts w:ascii="Arial" w:hAnsi="Arial" w:cs="Arial"/>
                <w:b/>
                <w:sz w:val="22"/>
                <w:szCs w:val="24"/>
              </w:rPr>
              <w:t>schio sismico e 827 quelli a rischio idrogeologico.</w:t>
            </w:r>
          </w:p>
        </w:tc>
      </w:tr>
      <w:tr w:rsidR="00256DCA" w:rsidRPr="002B3085" w:rsidTr="00A16BCD">
        <w:trPr>
          <w:jc w:val="center"/>
        </w:trPr>
        <w:tc>
          <w:tcPr>
            <w:tcW w:w="1707" w:type="dxa"/>
            <w:tcBorders>
              <w:top w:val="nil"/>
              <w:left w:val="nil"/>
              <w:bottom w:val="nil"/>
              <w:right w:val="nil"/>
            </w:tcBorders>
          </w:tcPr>
          <w:p w:rsidR="00256DCA" w:rsidRPr="002B3085" w:rsidRDefault="00256DCA" w:rsidP="00A16BCD">
            <w:pPr>
              <w:spacing w:after="120"/>
              <w:rPr>
                <w:rFonts w:ascii="Arial" w:hAnsi="Arial" w:cs="Arial"/>
                <w:b/>
                <w:color w:val="000080"/>
              </w:rPr>
            </w:pPr>
            <w:r w:rsidRPr="002B3085">
              <w:rPr>
                <w:rFonts w:ascii="Arial" w:hAnsi="Arial" w:cs="Arial"/>
                <w:b/>
                <w:color w:val="000080"/>
              </w:rPr>
              <w:t xml:space="preserve">I programmi finanziati dal Governo </w:t>
            </w:r>
          </w:p>
        </w:tc>
        <w:tc>
          <w:tcPr>
            <w:tcW w:w="7099" w:type="dxa"/>
            <w:tcBorders>
              <w:top w:val="nil"/>
              <w:left w:val="nil"/>
              <w:bottom w:val="nil"/>
              <w:right w:val="nil"/>
            </w:tcBorders>
          </w:tcPr>
          <w:p w:rsidR="00256DCA" w:rsidRPr="00256DCA" w:rsidRDefault="00256DCA" w:rsidP="00A16BCD">
            <w:pPr>
              <w:spacing w:after="120"/>
              <w:jc w:val="both"/>
              <w:rPr>
                <w:rFonts w:ascii="Arial" w:hAnsi="Arial" w:cs="Arial"/>
                <w:sz w:val="22"/>
                <w:szCs w:val="24"/>
              </w:rPr>
            </w:pPr>
            <w:r w:rsidRPr="00256DCA">
              <w:rPr>
                <w:rFonts w:ascii="Arial" w:hAnsi="Arial" w:cs="Arial"/>
                <w:sz w:val="22"/>
                <w:szCs w:val="24"/>
              </w:rPr>
              <w:t>In questo contesto, il Governo è intervenuto stanziando un miliardo di euro aggiuntivo all’inizio della scorsa estate che ha ripartito su tre pr</w:t>
            </w:r>
            <w:r w:rsidRPr="00256DCA">
              <w:rPr>
                <w:rFonts w:ascii="Arial" w:hAnsi="Arial" w:cs="Arial"/>
                <w:sz w:val="22"/>
                <w:szCs w:val="24"/>
              </w:rPr>
              <w:t>o</w:t>
            </w:r>
            <w:r w:rsidRPr="00256DCA">
              <w:rPr>
                <w:rFonts w:ascii="Arial" w:hAnsi="Arial" w:cs="Arial"/>
                <w:sz w:val="22"/>
                <w:szCs w:val="24"/>
              </w:rPr>
              <w:t>grammi di spesa “</w:t>
            </w:r>
            <w:r w:rsidRPr="00256DCA">
              <w:rPr>
                <w:rFonts w:ascii="Arial" w:hAnsi="Arial" w:cs="Arial"/>
                <w:i/>
                <w:sz w:val="22"/>
                <w:szCs w:val="24"/>
              </w:rPr>
              <w:t>#</w:t>
            </w:r>
            <w:proofErr w:type="spellStart"/>
            <w:r w:rsidRPr="00256DCA">
              <w:rPr>
                <w:rFonts w:ascii="Arial" w:hAnsi="Arial" w:cs="Arial"/>
                <w:i/>
                <w:sz w:val="22"/>
                <w:szCs w:val="24"/>
              </w:rPr>
              <w:t>scuolebelle</w:t>
            </w:r>
            <w:proofErr w:type="spellEnd"/>
            <w:r w:rsidRPr="00256DCA">
              <w:rPr>
                <w:rFonts w:ascii="Arial" w:hAnsi="Arial" w:cs="Arial"/>
                <w:sz w:val="22"/>
                <w:szCs w:val="24"/>
              </w:rPr>
              <w:t>”, “</w:t>
            </w:r>
            <w:r w:rsidRPr="00256DCA">
              <w:rPr>
                <w:rFonts w:ascii="Arial" w:hAnsi="Arial" w:cs="Arial"/>
                <w:i/>
                <w:sz w:val="22"/>
                <w:szCs w:val="24"/>
              </w:rPr>
              <w:t>#</w:t>
            </w:r>
            <w:proofErr w:type="spellStart"/>
            <w:r w:rsidRPr="00256DCA">
              <w:rPr>
                <w:rFonts w:ascii="Arial" w:hAnsi="Arial" w:cs="Arial"/>
                <w:i/>
                <w:sz w:val="22"/>
                <w:szCs w:val="24"/>
              </w:rPr>
              <w:t>scuolesicure</w:t>
            </w:r>
            <w:proofErr w:type="spellEnd"/>
            <w:r w:rsidRPr="00256DCA">
              <w:rPr>
                <w:rFonts w:ascii="Arial" w:hAnsi="Arial" w:cs="Arial"/>
                <w:sz w:val="22"/>
                <w:szCs w:val="24"/>
              </w:rPr>
              <w:t>” e “</w:t>
            </w:r>
            <w:r w:rsidRPr="00256DCA">
              <w:rPr>
                <w:rFonts w:ascii="Arial" w:hAnsi="Arial" w:cs="Arial"/>
                <w:i/>
                <w:sz w:val="22"/>
                <w:szCs w:val="24"/>
              </w:rPr>
              <w:t>#scuole nuove</w:t>
            </w:r>
            <w:r w:rsidRPr="00256DCA">
              <w:rPr>
                <w:rFonts w:ascii="Arial" w:hAnsi="Arial" w:cs="Arial"/>
                <w:sz w:val="22"/>
                <w:szCs w:val="24"/>
              </w:rPr>
              <w:t>” r</w:t>
            </w:r>
            <w:r w:rsidRPr="00256DCA">
              <w:rPr>
                <w:rFonts w:ascii="Arial" w:hAnsi="Arial" w:cs="Arial"/>
                <w:sz w:val="22"/>
                <w:szCs w:val="24"/>
              </w:rPr>
              <w:t>e</w:t>
            </w:r>
            <w:r w:rsidRPr="00256DCA">
              <w:rPr>
                <w:rFonts w:ascii="Arial" w:hAnsi="Arial" w:cs="Arial"/>
                <w:sz w:val="22"/>
                <w:szCs w:val="24"/>
              </w:rPr>
              <w:t>lativi rispettivamente ad interventi di piccolissima manutenzione, me</w:t>
            </w:r>
            <w:r w:rsidRPr="00256DCA">
              <w:rPr>
                <w:rFonts w:ascii="Arial" w:hAnsi="Arial" w:cs="Arial"/>
                <w:sz w:val="22"/>
                <w:szCs w:val="24"/>
              </w:rPr>
              <w:t>s</w:t>
            </w:r>
            <w:r w:rsidRPr="00256DCA">
              <w:rPr>
                <w:rFonts w:ascii="Arial" w:hAnsi="Arial" w:cs="Arial"/>
                <w:sz w:val="22"/>
                <w:szCs w:val="24"/>
              </w:rPr>
              <w:t>sa in sicurezza e nuova costruzione  su un totale di 20.000 edifici sc</w:t>
            </w:r>
            <w:r w:rsidRPr="00256DCA">
              <w:rPr>
                <w:rFonts w:ascii="Arial" w:hAnsi="Arial" w:cs="Arial"/>
                <w:sz w:val="22"/>
                <w:szCs w:val="24"/>
              </w:rPr>
              <w:t>o</w:t>
            </w:r>
            <w:r w:rsidRPr="00256DCA">
              <w:rPr>
                <w:rFonts w:ascii="Arial" w:hAnsi="Arial" w:cs="Arial"/>
                <w:sz w:val="22"/>
                <w:szCs w:val="24"/>
              </w:rPr>
              <w:t>lastici.</w:t>
            </w:r>
          </w:p>
          <w:p w:rsidR="00256DCA" w:rsidRPr="00256DCA" w:rsidRDefault="00256DCA" w:rsidP="00A16BCD">
            <w:pPr>
              <w:spacing w:after="120"/>
              <w:jc w:val="both"/>
              <w:rPr>
                <w:rFonts w:ascii="Arial" w:hAnsi="Arial" w:cs="Arial"/>
                <w:sz w:val="22"/>
                <w:szCs w:val="24"/>
              </w:rPr>
            </w:pPr>
            <w:r w:rsidRPr="00256DCA">
              <w:rPr>
                <w:rFonts w:ascii="Arial" w:hAnsi="Arial" w:cs="Arial"/>
                <w:sz w:val="22"/>
                <w:szCs w:val="24"/>
              </w:rPr>
              <w:t>A fronte di questi programmi, in Emilia Romagna sono stati destinati complessivamente 31,5,7 milioni di euro che hanno riguardato per il 24% interventi di piccolissima manutenzione (una quota inferiore r</w:t>
            </w:r>
            <w:r w:rsidRPr="00256DCA">
              <w:rPr>
                <w:rFonts w:ascii="Arial" w:hAnsi="Arial" w:cs="Arial"/>
                <w:sz w:val="22"/>
                <w:szCs w:val="24"/>
              </w:rPr>
              <w:t>i</w:t>
            </w:r>
            <w:r w:rsidRPr="00256DCA">
              <w:rPr>
                <w:rFonts w:ascii="Arial" w:hAnsi="Arial" w:cs="Arial"/>
                <w:sz w:val="22"/>
                <w:szCs w:val="24"/>
              </w:rPr>
              <w:t>spetto alla media nazionale).</w:t>
            </w:r>
          </w:p>
        </w:tc>
      </w:tr>
    </w:tbl>
    <w:p w:rsidR="00256DCA" w:rsidRPr="002B3085" w:rsidRDefault="00256DCA" w:rsidP="00256DCA">
      <w:pPr>
        <w:tabs>
          <w:tab w:val="left" w:pos="2277"/>
        </w:tabs>
        <w:spacing w:after="120"/>
        <w:jc w:val="center"/>
        <w:rPr>
          <w:rFonts w:ascii="Arial" w:hAnsi="Arial" w:cs="Arial"/>
          <w:sz w:val="24"/>
          <w:szCs w:val="24"/>
        </w:rPr>
      </w:pPr>
      <w:r w:rsidRPr="005D1354">
        <w:rPr>
          <w:noProof/>
        </w:rPr>
        <w:drawing>
          <wp:inline distT="0" distB="0" distL="0" distR="0" wp14:anchorId="1643C016" wp14:editId="402CD87F">
            <wp:extent cx="4377879" cy="3409950"/>
            <wp:effectExtent l="0" t="0" r="381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77879" cy="3409950"/>
                    </a:xfrm>
                    <a:prstGeom prst="rect">
                      <a:avLst/>
                    </a:prstGeom>
                    <a:noFill/>
                    <a:ln>
                      <a:noFill/>
                    </a:ln>
                  </pic:spPr>
                </pic:pic>
              </a:graphicData>
            </a:graphic>
          </wp:inline>
        </w:drawing>
      </w:r>
    </w:p>
    <w:tbl>
      <w:tblPr>
        <w:tblW w:w="8806" w:type="dxa"/>
        <w:jc w:val="center"/>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7"/>
        <w:gridCol w:w="7099"/>
      </w:tblGrid>
      <w:tr w:rsidR="00256DCA" w:rsidRPr="002B3085" w:rsidTr="00A16BCD">
        <w:trPr>
          <w:jc w:val="center"/>
        </w:trPr>
        <w:tc>
          <w:tcPr>
            <w:tcW w:w="1707" w:type="dxa"/>
            <w:tcBorders>
              <w:top w:val="nil"/>
              <w:left w:val="nil"/>
              <w:bottom w:val="nil"/>
              <w:right w:val="nil"/>
            </w:tcBorders>
          </w:tcPr>
          <w:p w:rsidR="00256DCA" w:rsidRPr="002B3085" w:rsidRDefault="00256DCA" w:rsidP="00A16BCD">
            <w:pPr>
              <w:spacing w:after="120"/>
              <w:rPr>
                <w:rFonts w:ascii="Arial" w:hAnsi="Arial" w:cs="Arial"/>
                <w:b/>
                <w:color w:val="000080"/>
              </w:rPr>
            </w:pPr>
            <w:r w:rsidRPr="002B3085">
              <w:rPr>
                <w:rFonts w:ascii="Arial" w:hAnsi="Arial" w:cs="Arial"/>
                <w:b/>
                <w:color w:val="000080"/>
              </w:rPr>
              <w:t>Il “Decreto    Mutui”</w:t>
            </w:r>
          </w:p>
        </w:tc>
        <w:tc>
          <w:tcPr>
            <w:tcW w:w="7099" w:type="dxa"/>
            <w:tcBorders>
              <w:top w:val="nil"/>
              <w:left w:val="nil"/>
              <w:bottom w:val="nil"/>
              <w:right w:val="nil"/>
            </w:tcBorders>
          </w:tcPr>
          <w:p w:rsidR="00256DCA" w:rsidRPr="00256DCA" w:rsidRDefault="00256DCA" w:rsidP="00A16BCD">
            <w:pPr>
              <w:spacing w:after="120"/>
              <w:jc w:val="both"/>
              <w:rPr>
                <w:rFonts w:ascii="Arial" w:hAnsi="Arial" w:cs="Arial"/>
                <w:sz w:val="22"/>
                <w:szCs w:val="24"/>
              </w:rPr>
            </w:pPr>
            <w:r w:rsidRPr="00256DCA">
              <w:rPr>
                <w:rFonts w:ascii="Arial" w:hAnsi="Arial" w:cs="Arial"/>
                <w:sz w:val="22"/>
                <w:szCs w:val="24"/>
              </w:rPr>
              <w:t xml:space="preserve">Tra le ultime opportunità in materia di edilizia scolastica si evidenzia il cosiddetto </w:t>
            </w:r>
            <w:r w:rsidRPr="00256DCA">
              <w:rPr>
                <w:rFonts w:ascii="Arial" w:hAnsi="Arial" w:cs="Arial"/>
                <w:b/>
                <w:sz w:val="22"/>
                <w:szCs w:val="24"/>
              </w:rPr>
              <w:t>“Decreto Mutui”</w:t>
            </w:r>
            <w:r w:rsidRPr="00256DCA">
              <w:rPr>
                <w:rFonts w:ascii="Arial" w:hAnsi="Arial" w:cs="Arial"/>
                <w:sz w:val="22"/>
                <w:szCs w:val="24"/>
              </w:rPr>
              <w:t xml:space="preserve"> (DL 104/2013 art.10) che prevede la po</w:t>
            </w:r>
            <w:r w:rsidRPr="00256DCA">
              <w:rPr>
                <w:rFonts w:ascii="Arial" w:hAnsi="Arial" w:cs="Arial"/>
                <w:sz w:val="22"/>
                <w:szCs w:val="24"/>
              </w:rPr>
              <w:t>s</w:t>
            </w:r>
            <w:r w:rsidRPr="00256DCA">
              <w:rPr>
                <w:rFonts w:ascii="Arial" w:hAnsi="Arial" w:cs="Arial"/>
                <w:sz w:val="22"/>
                <w:szCs w:val="24"/>
              </w:rPr>
              <w:t xml:space="preserve">sibilità per le Regioni di stipulare </w:t>
            </w:r>
            <w:r w:rsidRPr="00256DCA">
              <w:rPr>
                <w:rFonts w:ascii="Arial" w:hAnsi="Arial" w:cs="Arial"/>
                <w:b/>
                <w:sz w:val="22"/>
                <w:szCs w:val="24"/>
              </w:rPr>
              <w:t>mutui trentennali per un valore annuo di 40 milioni di euro in grado di sviluppare un volume di investimenti pari a 905 milioni di euro, con oneri a carico dello Stato,</w:t>
            </w:r>
            <w:r w:rsidRPr="00256DCA">
              <w:rPr>
                <w:rFonts w:ascii="Arial" w:hAnsi="Arial" w:cs="Arial"/>
                <w:sz w:val="22"/>
                <w:szCs w:val="24"/>
              </w:rPr>
              <w:t xml:space="preserve"> con la Banca Europea per gli Investimenti, con la Banca di sv</w:t>
            </w:r>
            <w:r w:rsidRPr="00256DCA">
              <w:rPr>
                <w:rFonts w:ascii="Arial" w:hAnsi="Arial" w:cs="Arial"/>
                <w:sz w:val="22"/>
                <w:szCs w:val="24"/>
              </w:rPr>
              <w:t>i</w:t>
            </w:r>
            <w:r w:rsidRPr="00256DCA">
              <w:rPr>
                <w:rFonts w:ascii="Arial" w:hAnsi="Arial" w:cs="Arial"/>
                <w:sz w:val="22"/>
                <w:szCs w:val="24"/>
              </w:rPr>
              <w:t>luppo del Consiglio d’Europa e la Cassa Depositi e Prestiti per dare avvio ad un programma triennale di edilizia scolastica.</w:t>
            </w:r>
          </w:p>
          <w:p w:rsidR="00256DCA" w:rsidRPr="00256DCA" w:rsidRDefault="00256DCA" w:rsidP="00A16BCD">
            <w:pPr>
              <w:spacing w:after="120"/>
              <w:jc w:val="both"/>
              <w:rPr>
                <w:rFonts w:ascii="Arial" w:hAnsi="Arial" w:cs="Arial"/>
                <w:sz w:val="22"/>
                <w:szCs w:val="24"/>
              </w:rPr>
            </w:pPr>
            <w:r w:rsidRPr="00256DCA">
              <w:rPr>
                <w:rFonts w:ascii="Arial" w:hAnsi="Arial" w:cs="Arial"/>
                <w:sz w:val="22"/>
                <w:szCs w:val="24"/>
              </w:rPr>
              <w:t xml:space="preserve">A tal fine, sulla base del Decreto interministeriale 23 gennaio 2015, le Regioni avrebbero dovuto trasmettere al MIUR, entro il 30 aprile 2015, i piani regionali di edilizia scolastica redatti sulla base delle richieste presentate dagli enti locali. </w:t>
            </w:r>
          </w:p>
          <w:p w:rsidR="00256DCA" w:rsidRPr="00256DCA" w:rsidRDefault="00256DCA" w:rsidP="00A16BCD">
            <w:pPr>
              <w:spacing w:after="120"/>
              <w:jc w:val="both"/>
              <w:rPr>
                <w:rFonts w:ascii="Arial" w:hAnsi="Arial" w:cs="Arial"/>
                <w:sz w:val="22"/>
                <w:szCs w:val="24"/>
              </w:rPr>
            </w:pPr>
            <w:r w:rsidRPr="00256DCA">
              <w:rPr>
                <w:rFonts w:ascii="Arial" w:hAnsi="Arial" w:cs="Arial"/>
                <w:sz w:val="22"/>
                <w:szCs w:val="24"/>
              </w:rPr>
              <w:t xml:space="preserve">Sulla base di tali segnalazioni il MIUR ha approvato il 29 maggio 2015 la </w:t>
            </w:r>
            <w:r w:rsidRPr="00256DCA">
              <w:rPr>
                <w:rFonts w:ascii="Arial" w:hAnsi="Arial" w:cs="Arial"/>
                <w:b/>
                <w:sz w:val="22"/>
                <w:szCs w:val="24"/>
              </w:rPr>
              <w:t xml:space="preserve">Programmazione unica nazionale per il triennio 2015-2017 che ha </w:t>
            </w:r>
            <w:r w:rsidRPr="00256DCA">
              <w:rPr>
                <w:rFonts w:ascii="Arial" w:hAnsi="Arial" w:cs="Arial"/>
                <w:sz w:val="22"/>
                <w:szCs w:val="24"/>
              </w:rPr>
              <w:t xml:space="preserve">individuato 6.368 interventi per un fabbisogno totale di 3,7 miliardi. </w:t>
            </w:r>
          </w:p>
          <w:p w:rsidR="00256DCA" w:rsidRPr="00256DCA" w:rsidRDefault="00256DCA" w:rsidP="00A16BCD">
            <w:pPr>
              <w:spacing w:after="120"/>
              <w:jc w:val="both"/>
              <w:rPr>
                <w:rFonts w:ascii="Arial" w:hAnsi="Arial" w:cs="Arial"/>
                <w:sz w:val="22"/>
                <w:szCs w:val="24"/>
              </w:rPr>
            </w:pPr>
            <w:r w:rsidRPr="00256DCA">
              <w:rPr>
                <w:rFonts w:ascii="Arial" w:hAnsi="Arial" w:cs="Arial"/>
                <w:sz w:val="22"/>
                <w:szCs w:val="24"/>
              </w:rPr>
              <w:t xml:space="preserve">Tale programmazione, sulla base di quanto previsto nel Disegno di Legge “La Buona Scuola” (C. 2994-A e </w:t>
            </w:r>
            <w:proofErr w:type="spellStart"/>
            <w:r w:rsidRPr="00256DCA">
              <w:rPr>
                <w:rFonts w:ascii="Arial" w:hAnsi="Arial" w:cs="Arial"/>
                <w:sz w:val="22"/>
                <w:szCs w:val="24"/>
              </w:rPr>
              <w:t>abb</w:t>
            </w:r>
            <w:proofErr w:type="spellEnd"/>
            <w:r w:rsidRPr="00256DCA">
              <w:rPr>
                <w:rFonts w:ascii="Arial" w:hAnsi="Arial" w:cs="Arial"/>
                <w:sz w:val="22"/>
                <w:szCs w:val="24"/>
              </w:rPr>
              <w:t>.) approvato in prima lett</w:t>
            </w:r>
            <w:r w:rsidRPr="00256DCA">
              <w:rPr>
                <w:rFonts w:ascii="Arial" w:hAnsi="Arial" w:cs="Arial"/>
                <w:sz w:val="22"/>
                <w:szCs w:val="24"/>
              </w:rPr>
              <w:t>u</w:t>
            </w:r>
            <w:r w:rsidRPr="00256DCA">
              <w:rPr>
                <w:rFonts w:ascii="Arial" w:hAnsi="Arial" w:cs="Arial"/>
                <w:sz w:val="22"/>
                <w:szCs w:val="24"/>
              </w:rPr>
              <w:t>ra alla Camera dei Deputati, assumerà un ruolo primario nella defin</w:t>
            </w:r>
            <w:r w:rsidRPr="00256DCA">
              <w:rPr>
                <w:rFonts w:ascii="Arial" w:hAnsi="Arial" w:cs="Arial"/>
                <w:sz w:val="22"/>
                <w:szCs w:val="24"/>
              </w:rPr>
              <w:t>i</w:t>
            </w:r>
            <w:r w:rsidRPr="00256DCA">
              <w:rPr>
                <w:rFonts w:ascii="Arial" w:hAnsi="Arial" w:cs="Arial"/>
                <w:sz w:val="22"/>
                <w:szCs w:val="24"/>
              </w:rPr>
              <w:t>zione del fabbisogno nazionale in materia di edilizia scolastica.</w:t>
            </w:r>
          </w:p>
          <w:p w:rsidR="00256DCA" w:rsidRPr="00256DCA" w:rsidRDefault="00256DCA" w:rsidP="00A16BCD">
            <w:pPr>
              <w:spacing w:after="120"/>
              <w:jc w:val="both"/>
              <w:rPr>
                <w:rFonts w:ascii="Arial" w:hAnsi="Arial" w:cs="Arial"/>
                <w:sz w:val="22"/>
                <w:szCs w:val="24"/>
              </w:rPr>
            </w:pPr>
            <w:r w:rsidRPr="00256DCA">
              <w:rPr>
                <w:rFonts w:ascii="Arial" w:hAnsi="Arial" w:cs="Arial"/>
                <w:b/>
                <w:sz w:val="22"/>
                <w:szCs w:val="24"/>
              </w:rPr>
              <w:t>La Regione Emilia Romagna</w:t>
            </w:r>
            <w:r w:rsidRPr="00256DCA">
              <w:rPr>
                <w:rFonts w:ascii="Arial" w:hAnsi="Arial" w:cs="Arial"/>
                <w:sz w:val="22"/>
                <w:szCs w:val="24"/>
              </w:rPr>
              <w:t xml:space="preserve"> ha presentato </w:t>
            </w:r>
            <w:r w:rsidRPr="00256DCA">
              <w:rPr>
                <w:rFonts w:ascii="Arial" w:hAnsi="Arial" w:cs="Arial"/>
                <w:b/>
                <w:sz w:val="22"/>
                <w:szCs w:val="24"/>
              </w:rPr>
              <w:t>287 interventi</w:t>
            </w:r>
            <w:r w:rsidRPr="00256DCA">
              <w:rPr>
                <w:rFonts w:ascii="Arial" w:hAnsi="Arial" w:cs="Arial"/>
                <w:sz w:val="22"/>
                <w:szCs w:val="24"/>
              </w:rPr>
              <w:t xml:space="preserve"> </w:t>
            </w:r>
            <w:r w:rsidRPr="00256DCA">
              <w:rPr>
                <w:rFonts w:ascii="Arial" w:hAnsi="Arial" w:cs="Arial"/>
                <w:b/>
                <w:sz w:val="22"/>
                <w:szCs w:val="24"/>
              </w:rPr>
              <w:t>per un costo totale di 121,4 milioni di euro e un ammontare di finanzi</w:t>
            </w:r>
            <w:r w:rsidRPr="00256DCA">
              <w:rPr>
                <w:rFonts w:ascii="Arial" w:hAnsi="Arial" w:cs="Arial"/>
                <w:b/>
                <w:sz w:val="22"/>
                <w:szCs w:val="24"/>
              </w:rPr>
              <w:t>a</w:t>
            </w:r>
            <w:r w:rsidRPr="00256DCA">
              <w:rPr>
                <w:rFonts w:ascii="Arial" w:hAnsi="Arial" w:cs="Arial"/>
                <w:b/>
                <w:sz w:val="22"/>
                <w:szCs w:val="24"/>
              </w:rPr>
              <w:t>menti richiesti pari a 83 milioni di euro</w:t>
            </w:r>
            <w:r w:rsidRPr="00256DCA">
              <w:rPr>
                <w:rFonts w:ascii="Arial" w:hAnsi="Arial" w:cs="Arial"/>
                <w:sz w:val="22"/>
                <w:szCs w:val="24"/>
              </w:rPr>
              <w:t>.</w:t>
            </w:r>
          </w:p>
          <w:p w:rsidR="00256DCA" w:rsidRPr="00256DCA" w:rsidRDefault="00256DCA" w:rsidP="00A16BCD">
            <w:pPr>
              <w:spacing w:after="120"/>
              <w:jc w:val="both"/>
              <w:rPr>
                <w:rFonts w:ascii="Arial" w:hAnsi="Arial" w:cs="Arial"/>
                <w:sz w:val="22"/>
                <w:szCs w:val="24"/>
              </w:rPr>
            </w:pPr>
            <w:r w:rsidRPr="00256DCA">
              <w:rPr>
                <w:rFonts w:ascii="Arial" w:hAnsi="Arial" w:cs="Arial"/>
                <w:sz w:val="22"/>
                <w:szCs w:val="24"/>
              </w:rPr>
              <w:t>Lo scorso 20 maggio è stato registrato dalla Corte dei Conti il Decreto del MIUR del 16 marzo 2015 contenente la ripartizione regionale delle risorse previste dal cosiddetto "Decreto Mutui”. Il Decreto, che a breve verrà pubblicato in Gazzetta Ufficiale, ha definito in 2.556.440,69 euro la quota di contributo annuo assegnato all’Emilia Romagna corrispo</w:t>
            </w:r>
            <w:r w:rsidRPr="00256DCA">
              <w:rPr>
                <w:rFonts w:ascii="Arial" w:hAnsi="Arial" w:cs="Arial"/>
                <w:sz w:val="22"/>
                <w:szCs w:val="24"/>
              </w:rPr>
              <w:t>n</w:t>
            </w:r>
            <w:r w:rsidRPr="00256DCA">
              <w:rPr>
                <w:rFonts w:ascii="Arial" w:hAnsi="Arial" w:cs="Arial"/>
                <w:sz w:val="22"/>
                <w:szCs w:val="24"/>
              </w:rPr>
              <w:t>dente ad un volume di investimenti stimati in 57,8 milioni di euro.</w:t>
            </w:r>
          </w:p>
        </w:tc>
      </w:tr>
      <w:tr w:rsidR="00256DCA" w:rsidRPr="002B3085" w:rsidTr="00A16BCD">
        <w:trPr>
          <w:jc w:val="center"/>
        </w:trPr>
        <w:tc>
          <w:tcPr>
            <w:tcW w:w="1707" w:type="dxa"/>
            <w:tcBorders>
              <w:top w:val="nil"/>
              <w:left w:val="nil"/>
              <w:bottom w:val="nil"/>
              <w:right w:val="nil"/>
            </w:tcBorders>
          </w:tcPr>
          <w:p w:rsidR="00256DCA" w:rsidRPr="002B3085" w:rsidRDefault="00256DCA" w:rsidP="00A16BCD">
            <w:pPr>
              <w:spacing w:after="120"/>
              <w:rPr>
                <w:rFonts w:ascii="Arial" w:hAnsi="Arial" w:cs="Arial"/>
                <w:b/>
                <w:color w:val="000080"/>
              </w:rPr>
            </w:pPr>
            <w:r w:rsidRPr="002B3085">
              <w:rPr>
                <w:rFonts w:ascii="Arial" w:hAnsi="Arial" w:cs="Arial"/>
                <w:b/>
                <w:color w:val="000080"/>
              </w:rPr>
              <w:t>La ricognizione delle opere cantierabili</w:t>
            </w:r>
          </w:p>
        </w:tc>
        <w:tc>
          <w:tcPr>
            <w:tcW w:w="7099" w:type="dxa"/>
            <w:tcBorders>
              <w:top w:val="nil"/>
              <w:left w:val="nil"/>
              <w:bottom w:val="nil"/>
              <w:right w:val="nil"/>
            </w:tcBorders>
          </w:tcPr>
          <w:p w:rsidR="00256DCA" w:rsidRPr="00256DCA" w:rsidRDefault="00256DCA" w:rsidP="00A16BCD">
            <w:pPr>
              <w:spacing w:after="120"/>
              <w:jc w:val="both"/>
              <w:rPr>
                <w:rFonts w:ascii="Arial" w:hAnsi="Arial" w:cs="Arial"/>
                <w:sz w:val="22"/>
                <w:szCs w:val="24"/>
              </w:rPr>
            </w:pPr>
            <w:r w:rsidRPr="00256DCA">
              <w:rPr>
                <w:rFonts w:ascii="Arial" w:hAnsi="Arial" w:cs="Arial"/>
                <w:sz w:val="22"/>
                <w:szCs w:val="24"/>
              </w:rPr>
              <w:t xml:space="preserve">Al fine di contribuire fattivamente alla realizzazione di opere pubbliche utili al Paese, </w:t>
            </w:r>
            <w:proofErr w:type="spellStart"/>
            <w:r w:rsidRPr="00256DCA">
              <w:rPr>
                <w:rFonts w:ascii="Arial" w:hAnsi="Arial" w:cs="Arial"/>
                <w:sz w:val="22"/>
                <w:szCs w:val="24"/>
              </w:rPr>
              <w:t>l’Ance</w:t>
            </w:r>
            <w:proofErr w:type="spellEnd"/>
            <w:r w:rsidRPr="00256DCA">
              <w:rPr>
                <w:rFonts w:ascii="Arial" w:hAnsi="Arial" w:cs="Arial"/>
                <w:sz w:val="22"/>
                <w:szCs w:val="24"/>
              </w:rPr>
              <w:t xml:space="preserve"> ha realizzato una ricognizione delle opere rap</w:t>
            </w:r>
            <w:r w:rsidRPr="00256DCA">
              <w:rPr>
                <w:rFonts w:ascii="Arial" w:hAnsi="Arial" w:cs="Arial"/>
                <w:sz w:val="22"/>
                <w:szCs w:val="24"/>
              </w:rPr>
              <w:t>i</w:t>
            </w:r>
            <w:r w:rsidRPr="00256DCA">
              <w:rPr>
                <w:rFonts w:ascii="Arial" w:hAnsi="Arial" w:cs="Arial"/>
                <w:sz w:val="22"/>
                <w:szCs w:val="24"/>
              </w:rPr>
              <w:t>damente cantierabili, prive di finanziamento o il cui avvio è bloccato a causa del Patto di stabilità interno.</w:t>
            </w:r>
          </w:p>
          <w:p w:rsidR="00256DCA" w:rsidRPr="00256DCA" w:rsidRDefault="00256DCA" w:rsidP="00A16BCD">
            <w:pPr>
              <w:spacing w:after="120"/>
              <w:jc w:val="both"/>
              <w:rPr>
                <w:rFonts w:ascii="Arial" w:hAnsi="Arial" w:cs="Arial"/>
                <w:b/>
                <w:sz w:val="22"/>
                <w:szCs w:val="24"/>
              </w:rPr>
            </w:pPr>
            <w:r w:rsidRPr="00256DCA">
              <w:rPr>
                <w:rFonts w:ascii="Arial" w:hAnsi="Arial" w:cs="Arial"/>
                <w:sz w:val="22"/>
                <w:szCs w:val="24"/>
              </w:rPr>
              <w:t xml:space="preserve">Tale iniziativa ha individuato circa </w:t>
            </w:r>
            <w:r w:rsidRPr="00256DCA">
              <w:rPr>
                <w:rFonts w:ascii="Arial" w:hAnsi="Arial" w:cs="Arial"/>
                <w:b/>
                <w:sz w:val="22"/>
                <w:szCs w:val="24"/>
              </w:rPr>
              <w:t>5.300 progetti diffusi su tutto il territorio nazionale, per un importo complessivo di oltre 9,8 m</w:t>
            </w:r>
            <w:r w:rsidRPr="00256DCA">
              <w:rPr>
                <w:rFonts w:ascii="Arial" w:hAnsi="Arial" w:cs="Arial"/>
                <w:b/>
                <w:sz w:val="22"/>
                <w:szCs w:val="24"/>
              </w:rPr>
              <w:t>i</w:t>
            </w:r>
            <w:r w:rsidRPr="00256DCA">
              <w:rPr>
                <w:rFonts w:ascii="Arial" w:hAnsi="Arial" w:cs="Arial"/>
                <w:b/>
                <w:sz w:val="22"/>
                <w:szCs w:val="24"/>
              </w:rPr>
              <w:t>liardi di euro.</w:t>
            </w:r>
          </w:p>
          <w:p w:rsidR="00256DCA" w:rsidRPr="00256DCA" w:rsidRDefault="00256DCA" w:rsidP="00A16BCD">
            <w:pPr>
              <w:spacing w:after="120"/>
              <w:jc w:val="both"/>
              <w:rPr>
                <w:rFonts w:ascii="Arial" w:hAnsi="Arial" w:cs="Arial"/>
                <w:b/>
                <w:sz w:val="22"/>
                <w:szCs w:val="24"/>
              </w:rPr>
            </w:pPr>
            <w:r w:rsidRPr="00256DCA">
              <w:rPr>
                <w:rFonts w:ascii="Arial" w:hAnsi="Arial" w:cs="Arial"/>
                <w:b/>
                <w:sz w:val="22"/>
                <w:szCs w:val="24"/>
              </w:rPr>
              <w:t>In Emilia Romagna, sono stati segnalati 283 opere (mobilità str</w:t>
            </w:r>
            <w:r w:rsidRPr="00256DCA">
              <w:rPr>
                <w:rFonts w:ascii="Arial" w:hAnsi="Arial" w:cs="Arial"/>
                <w:b/>
                <w:sz w:val="22"/>
                <w:szCs w:val="24"/>
              </w:rPr>
              <w:t>a</w:t>
            </w:r>
            <w:r w:rsidRPr="00256DCA">
              <w:rPr>
                <w:rFonts w:ascii="Arial" w:hAnsi="Arial" w:cs="Arial"/>
                <w:b/>
                <w:sz w:val="22"/>
                <w:szCs w:val="24"/>
              </w:rPr>
              <w:t>dale, scuole, rischio idrogeologico, ecc..) per 404 milioni di euro.</w:t>
            </w:r>
          </w:p>
        </w:tc>
      </w:tr>
    </w:tbl>
    <w:p w:rsidR="00256DCA" w:rsidRPr="002B3085" w:rsidRDefault="00256DCA" w:rsidP="00256DCA">
      <w:pPr>
        <w:tabs>
          <w:tab w:val="left" w:pos="2277"/>
        </w:tabs>
        <w:spacing w:after="120"/>
        <w:jc w:val="center"/>
        <w:rPr>
          <w:rFonts w:ascii="Arial" w:hAnsi="Arial" w:cs="Arial"/>
          <w:szCs w:val="24"/>
        </w:rPr>
      </w:pPr>
      <w:r w:rsidRPr="00D60C2C">
        <w:rPr>
          <w:noProof/>
        </w:rPr>
        <w:drawing>
          <wp:inline distT="0" distB="0" distL="0" distR="0" wp14:anchorId="137A4513" wp14:editId="54B8A193">
            <wp:extent cx="4861340" cy="3171825"/>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60768" cy="3171452"/>
                    </a:xfrm>
                    <a:prstGeom prst="rect">
                      <a:avLst/>
                    </a:prstGeom>
                    <a:noFill/>
                    <a:ln>
                      <a:noFill/>
                    </a:ln>
                  </pic:spPr>
                </pic:pic>
              </a:graphicData>
            </a:graphic>
          </wp:inline>
        </w:drawing>
      </w:r>
    </w:p>
    <w:tbl>
      <w:tblPr>
        <w:tblW w:w="8797" w:type="dxa"/>
        <w:jc w:val="center"/>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8"/>
        <w:gridCol w:w="7099"/>
      </w:tblGrid>
      <w:tr w:rsidR="00256DCA" w:rsidRPr="002B3085" w:rsidTr="00A16BCD">
        <w:trPr>
          <w:jc w:val="center"/>
        </w:trPr>
        <w:tc>
          <w:tcPr>
            <w:tcW w:w="1698" w:type="dxa"/>
            <w:tcBorders>
              <w:top w:val="nil"/>
              <w:left w:val="nil"/>
              <w:bottom w:val="nil"/>
              <w:right w:val="nil"/>
            </w:tcBorders>
          </w:tcPr>
          <w:p w:rsidR="00256DCA" w:rsidRPr="002B3085" w:rsidRDefault="00256DCA" w:rsidP="00A16BCD">
            <w:pPr>
              <w:spacing w:after="120"/>
              <w:rPr>
                <w:rFonts w:ascii="Arial" w:hAnsi="Arial" w:cs="Arial"/>
                <w:b/>
                <w:color w:val="000080"/>
              </w:rPr>
            </w:pPr>
          </w:p>
        </w:tc>
        <w:tc>
          <w:tcPr>
            <w:tcW w:w="7099" w:type="dxa"/>
            <w:tcBorders>
              <w:top w:val="nil"/>
              <w:left w:val="nil"/>
              <w:bottom w:val="nil"/>
              <w:right w:val="nil"/>
            </w:tcBorders>
          </w:tcPr>
          <w:p w:rsidR="00256DCA" w:rsidRPr="00256DCA" w:rsidRDefault="00256DCA" w:rsidP="00A16BCD">
            <w:pPr>
              <w:spacing w:after="120"/>
              <w:jc w:val="both"/>
              <w:rPr>
                <w:rFonts w:ascii="Arial" w:hAnsi="Arial" w:cs="Arial"/>
                <w:sz w:val="22"/>
                <w:szCs w:val="24"/>
              </w:rPr>
            </w:pPr>
            <w:r w:rsidRPr="00256DCA">
              <w:rPr>
                <w:rFonts w:ascii="Arial" w:hAnsi="Arial" w:cs="Arial"/>
                <w:sz w:val="22"/>
                <w:szCs w:val="24"/>
              </w:rPr>
              <w:t>La grande partecipazione di imprese ed enti locali, ed in particolare la condivisione degli obiettivi della ricognizione da parte di numerosi Comuni, testimonia la forte esigenza di avviare rapidamente un impo</w:t>
            </w:r>
            <w:r w:rsidRPr="00256DCA">
              <w:rPr>
                <w:rFonts w:ascii="Arial" w:hAnsi="Arial" w:cs="Arial"/>
                <w:sz w:val="22"/>
                <w:szCs w:val="24"/>
              </w:rPr>
              <w:t>r</w:t>
            </w:r>
            <w:r w:rsidRPr="00256DCA">
              <w:rPr>
                <w:rFonts w:ascii="Arial" w:hAnsi="Arial" w:cs="Arial"/>
                <w:sz w:val="22"/>
                <w:szCs w:val="24"/>
              </w:rPr>
              <w:t>tante piano di rilancio degli investimenti locali che comprenda misure di immediata attuazione, attraverso il finanziamento delle numerose opere che mostrano un livello progettuale avanzato, ma che abbia a</w:t>
            </w:r>
            <w:r w:rsidRPr="00256DCA">
              <w:rPr>
                <w:rFonts w:ascii="Arial" w:hAnsi="Arial" w:cs="Arial"/>
                <w:sz w:val="22"/>
                <w:szCs w:val="24"/>
              </w:rPr>
              <w:t>n</w:t>
            </w:r>
            <w:r w:rsidRPr="00256DCA">
              <w:rPr>
                <w:rFonts w:ascii="Arial" w:hAnsi="Arial" w:cs="Arial"/>
                <w:sz w:val="22"/>
                <w:szCs w:val="24"/>
              </w:rPr>
              <w:t>che carattere pluriennale, per ridare una stabile prospettiva di invest</w:t>
            </w:r>
            <w:r w:rsidRPr="00256DCA">
              <w:rPr>
                <w:rFonts w:ascii="Arial" w:hAnsi="Arial" w:cs="Arial"/>
                <w:sz w:val="22"/>
                <w:szCs w:val="24"/>
              </w:rPr>
              <w:t>i</w:t>
            </w:r>
            <w:r w:rsidRPr="00256DCA">
              <w:rPr>
                <w:rFonts w:ascii="Arial" w:hAnsi="Arial" w:cs="Arial"/>
                <w:sz w:val="22"/>
                <w:szCs w:val="24"/>
              </w:rPr>
              <w:t>menti agli enti locali.</w:t>
            </w:r>
          </w:p>
          <w:p w:rsidR="00256DCA" w:rsidRPr="00256DCA" w:rsidRDefault="00256DCA" w:rsidP="00A16BCD">
            <w:pPr>
              <w:spacing w:after="120"/>
              <w:jc w:val="both"/>
              <w:rPr>
                <w:rFonts w:ascii="Arial" w:hAnsi="Arial" w:cs="Arial"/>
                <w:sz w:val="22"/>
                <w:szCs w:val="24"/>
              </w:rPr>
            </w:pPr>
            <w:r w:rsidRPr="00256DCA">
              <w:rPr>
                <w:rFonts w:ascii="Arial" w:hAnsi="Arial" w:cs="Arial"/>
                <w:sz w:val="22"/>
                <w:szCs w:val="24"/>
              </w:rPr>
              <w:t>Rispetto a quest’esigenza, l’elenco delle opere finora raccolte fornisce un’idea molto precisa degli ambiti sui quali intervenire. Si tratta di se</w:t>
            </w:r>
            <w:r w:rsidRPr="00256DCA">
              <w:rPr>
                <w:rFonts w:ascii="Arial" w:hAnsi="Arial" w:cs="Arial"/>
                <w:sz w:val="22"/>
                <w:szCs w:val="24"/>
              </w:rPr>
              <w:t>t</w:t>
            </w:r>
            <w:r w:rsidRPr="00256DCA">
              <w:rPr>
                <w:rFonts w:ascii="Arial" w:hAnsi="Arial" w:cs="Arial"/>
                <w:sz w:val="22"/>
                <w:szCs w:val="24"/>
              </w:rPr>
              <w:t>tori fondamentali per garantire la qualità della vita dei cittadini: riqual</w:t>
            </w:r>
            <w:r w:rsidRPr="00256DCA">
              <w:rPr>
                <w:rFonts w:ascii="Arial" w:hAnsi="Arial" w:cs="Arial"/>
                <w:sz w:val="22"/>
                <w:szCs w:val="24"/>
              </w:rPr>
              <w:t>i</w:t>
            </w:r>
            <w:r w:rsidRPr="00256DCA">
              <w:rPr>
                <w:rFonts w:ascii="Arial" w:hAnsi="Arial" w:cs="Arial"/>
                <w:sz w:val="22"/>
                <w:szCs w:val="24"/>
              </w:rPr>
              <w:t>ficazione urbana, edilizia scolastica, rischio idrogeologico ed opere stradali.</w:t>
            </w:r>
          </w:p>
          <w:p w:rsidR="00256DCA" w:rsidRPr="00256DCA" w:rsidRDefault="00256DCA" w:rsidP="00A16BCD">
            <w:pPr>
              <w:spacing w:after="120"/>
              <w:jc w:val="both"/>
              <w:rPr>
                <w:rFonts w:ascii="Arial" w:hAnsi="Arial" w:cs="Arial"/>
                <w:sz w:val="22"/>
                <w:szCs w:val="24"/>
              </w:rPr>
            </w:pPr>
            <w:r w:rsidRPr="00256DCA">
              <w:rPr>
                <w:rFonts w:ascii="Arial" w:hAnsi="Arial" w:cs="Arial"/>
                <w:sz w:val="22"/>
                <w:szCs w:val="24"/>
              </w:rPr>
              <w:t>Inoltre, i tre quarti delle opere segnalate dispongono già di un elevato livello progettuale (progetto definitivo o esecutivo), rispetto al quale l’apertura dei cantieri può avvenire in tempi rapidi garantendo quell’effetto positivo sul settore delle costruzioni e, soprattutto, sull’intera economia, che il protrarsi della crisi economica richiede con urgenza.</w:t>
            </w:r>
          </w:p>
          <w:p w:rsidR="00256DCA" w:rsidRPr="00256DCA" w:rsidRDefault="00256DCA" w:rsidP="00A16BCD">
            <w:pPr>
              <w:spacing w:after="120"/>
              <w:jc w:val="both"/>
              <w:rPr>
                <w:rFonts w:ascii="Arial" w:hAnsi="Arial" w:cs="Arial"/>
                <w:sz w:val="22"/>
                <w:szCs w:val="24"/>
              </w:rPr>
            </w:pPr>
            <w:r w:rsidRPr="00256DCA">
              <w:rPr>
                <w:rFonts w:ascii="Arial" w:hAnsi="Arial" w:cs="Arial"/>
                <w:sz w:val="22"/>
                <w:szCs w:val="24"/>
              </w:rPr>
              <w:t>Dopo otto anni di drastica riduzione degli investimenti a livello locale, determinata dal Patto di stabilità interno, gli enti locali non progettano più lo sviluppo ma si sono abituati a progettare solo l’ordinaria amm</w:t>
            </w:r>
            <w:r w:rsidRPr="00256DCA">
              <w:rPr>
                <w:rFonts w:ascii="Arial" w:hAnsi="Arial" w:cs="Arial"/>
                <w:sz w:val="22"/>
                <w:szCs w:val="24"/>
              </w:rPr>
              <w:t>i</w:t>
            </w:r>
            <w:r w:rsidRPr="00256DCA">
              <w:rPr>
                <w:rFonts w:ascii="Arial" w:hAnsi="Arial" w:cs="Arial"/>
                <w:sz w:val="22"/>
                <w:szCs w:val="24"/>
              </w:rPr>
              <w:t>nistrazione, è necessario un piano strategico pluriennale.</w:t>
            </w:r>
          </w:p>
          <w:p w:rsidR="00256DCA" w:rsidRPr="00256DCA" w:rsidRDefault="00256DCA" w:rsidP="00A16BCD">
            <w:pPr>
              <w:spacing w:after="120"/>
              <w:jc w:val="both"/>
              <w:rPr>
                <w:rFonts w:ascii="Arial" w:hAnsi="Arial" w:cs="Arial"/>
                <w:sz w:val="22"/>
                <w:szCs w:val="24"/>
              </w:rPr>
            </w:pPr>
            <w:r w:rsidRPr="00256DCA">
              <w:rPr>
                <w:rFonts w:ascii="Arial" w:hAnsi="Arial" w:cs="Arial"/>
                <w:sz w:val="22"/>
                <w:szCs w:val="24"/>
              </w:rPr>
              <w:t>In questo senso, il piano potrebbe essere finanziato, tra l’altro, con le risorse del Fondo Sviluppo e Coesione (FSC) 2014-2020, pari a circa 39 miliardi di euro, che il Comitato Interministeriale per la Programm</w:t>
            </w:r>
            <w:r w:rsidRPr="00256DCA">
              <w:rPr>
                <w:rFonts w:ascii="Arial" w:hAnsi="Arial" w:cs="Arial"/>
                <w:sz w:val="22"/>
                <w:szCs w:val="24"/>
              </w:rPr>
              <w:t>a</w:t>
            </w:r>
            <w:r w:rsidRPr="00256DCA">
              <w:rPr>
                <w:rFonts w:ascii="Arial" w:hAnsi="Arial" w:cs="Arial"/>
                <w:sz w:val="22"/>
                <w:szCs w:val="24"/>
              </w:rPr>
              <w:t>zione Economica (CIPE) dovrà ripartire entro l’estate 2015 tra priorità strategiche individuate dal Governo.</w:t>
            </w:r>
          </w:p>
          <w:p w:rsidR="00256DCA" w:rsidRPr="00256DCA" w:rsidRDefault="00256DCA" w:rsidP="00A16BCD">
            <w:pPr>
              <w:spacing w:after="120"/>
              <w:jc w:val="both"/>
              <w:rPr>
                <w:rFonts w:ascii="Arial" w:hAnsi="Arial" w:cs="Arial"/>
                <w:sz w:val="22"/>
                <w:szCs w:val="24"/>
              </w:rPr>
            </w:pPr>
            <w:r w:rsidRPr="00256DCA">
              <w:rPr>
                <w:rFonts w:ascii="Arial" w:hAnsi="Arial" w:cs="Arial"/>
                <w:sz w:val="22"/>
                <w:szCs w:val="24"/>
              </w:rPr>
              <w:t xml:space="preserve">Nel corso degli ultimi anni, molti Paesi europei hanno adottato piani infrastrutturali di opere immediatamente cantierabili per fare fronte alla crisi del settore delle costruzioni e sostenere l’economia. E’ il caso in particolare di Spagna e Francia, di cui </w:t>
            </w:r>
            <w:proofErr w:type="spellStart"/>
            <w:r w:rsidRPr="00256DCA">
              <w:rPr>
                <w:rFonts w:ascii="Arial" w:hAnsi="Arial" w:cs="Arial"/>
                <w:sz w:val="22"/>
                <w:szCs w:val="24"/>
              </w:rPr>
              <w:t>l’Ance</w:t>
            </w:r>
            <w:proofErr w:type="spellEnd"/>
            <w:r w:rsidRPr="00256DCA">
              <w:rPr>
                <w:rFonts w:ascii="Arial" w:hAnsi="Arial" w:cs="Arial"/>
                <w:sz w:val="22"/>
                <w:szCs w:val="24"/>
              </w:rPr>
              <w:t xml:space="preserve"> ha studiato i modelli di intervento all’inizio della crisi: nel biennio 2009-2010, la Spagna ha f</w:t>
            </w:r>
            <w:r w:rsidRPr="00256DCA">
              <w:rPr>
                <w:rFonts w:ascii="Arial" w:hAnsi="Arial" w:cs="Arial"/>
                <w:sz w:val="22"/>
                <w:szCs w:val="24"/>
              </w:rPr>
              <w:t>i</w:t>
            </w:r>
            <w:r w:rsidRPr="00256DCA">
              <w:rPr>
                <w:rFonts w:ascii="Arial" w:hAnsi="Arial" w:cs="Arial"/>
                <w:sz w:val="22"/>
                <w:szCs w:val="24"/>
              </w:rPr>
              <w:t>nanziato e integralmente realizzato due Piani di opere medio-piccole immediatamente cantierabili (i cosiddetti “Plan E”), per un totale di ci</w:t>
            </w:r>
            <w:r w:rsidRPr="00256DCA">
              <w:rPr>
                <w:rFonts w:ascii="Arial" w:hAnsi="Arial" w:cs="Arial"/>
                <w:sz w:val="22"/>
                <w:szCs w:val="24"/>
              </w:rPr>
              <w:t>r</w:t>
            </w:r>
            <w:r w:rsidRPr="00256DCA">
              <w:rPr>
                <w:rFonts w:ascii="Arial" w:hAnsi="Arial" w:cs="Arial"/>
                <w:sz w:val="22"/>
                <w:szCs w:val="24"/>
              </w:rPr>
              <w:t>ca 13 miliardi di euro e circa 56.000 progetti; anche la Francia ha f</w:t>
            </w:r>
            <w:r w:rsidRPr="00256DCA">
              <w:rPr>
                <w:rFonts w:ascii="Arial" w:hAnsi="Arial" w:cs="Arial"/>
                <w:sz w:val="22"/>
                <w:szCs w:val="24"/>
              </w:rPr>
              <w:t>i</w:t>
            </w:r>
            <w:r w:rsidRPr="00256DCA">
              <w:rPr>
                <w:rFonts w:ascii="Arial" w:hAnsi="Arial" w:cs="Arial"/>
                <w:sz w:val="22"/>
                <w:szCs w:val="24"/>
              </w:rPr>
              <w:t>nanziato nel biennio 2009-2010, un Piano di opere medio-piccole i</w:t>
            </w:r>
            <w:r w:rsidRPr="00256DCA">
              <w:rPr>
                <w:rFonts w:ascii="Arial" w:hAnsi="Arial" w:cs="Arial"/>
                <w:sz w:val="22"/>
                <w:szCs w:val="24"/>
              </w:rPr>
              <w:t>m</w:t>
            </w:r>
            <w:r w:rsidRPr="00256DCA">
              <w:rPr>
                <w:rFonts w:ascii="Arial" w:hAnsi="Arial" w:cs="Arial"/>
                <w:sz w:val="22"/>
                <w:szCs w:val="24"/>
              </w:rPr>
              <w:t>mediatamente cantierabili per circa 7,5 miliardi di euro.</w:t>
            </w:r>
          </w:p>
          <w:p w:rsidR="00256DCA" w:rsidRPr="00256DCA" w:rsidRDefault="00256DCA" w:rsidP="00A16BCD">
            <w:pPr>
              <w:spacing w:after="120"/>
              <w:jc w:val="both"/>
              <w:rPr>
                <w:rFonts w:ascii="Arial" w:hAnsi="Arial" w:cs="Arial"/>
                <w:sz w:val="22"/>
                <w:szCs w:val="24"/>
              </w:rPr>
            </w:pPr>
            <w:r w:rsidRPr="00256DCA">
              <w:rPr>
                <w:rFonts w:ascii="Arial" w:hAnsi="Arial" w:cs="Arial"/>
                <w:sz w:val="22"/>
                <w:szCs w:val="24"/>
              </w:rPr>
              <w:t>Nell’attuale fase economica, molti partner europei stanno nuovamente avviando piani straordinari di rilancio degli investimenti locali. Si tratta in particolare della Germania e della Francia.</w:t>
            </w:r>
          </w:p>
        </w:tc>
      </w:tr>
      <w:tr w:rsidR="00537891" w:rsidRPr="007A2610" w:rsidTr="00537891">
        <w:trPr>
          <w:jc w:val="center"/>
        </w:trPr>
        <w:tc>
          <w:tcPr>
            <w:tcW w:w="1698" w:type="dxa"/>
            <w:tcBorders>
              <w:top w:val="nil"/>
              <w:left w:val="nil"/>
              <w:bottom w:val="nil"/>
              <w:right w:val="nil"/>
            </w:tcBorders>
          </w:tcPr>
          <w:p w:rsidR="00537891" w:rsidRPr="00537891" w:rsidRDefault="00537891" w:rsidP="00B807EB">
            <w:pPr>
              <w:spacing w:after="120"/>
              <w:rPr>
                <w:rFonts w:ascii="Arial" w:hAnsi="Arial" w:cs="Arial"/>
                <w:b/>
                <w:color w:val="000080"/>
              </w:rPr>
            </w:pPr>
            <w:r w:rsidRPr="00537891">
              <w:rPr>
                <w:rFonts w:ascii="Arial" w:hAnsi="Arial" w:cs="Arial"/>
                <w:b/>
                <w:color w:val="000080"/>
              </w:rPr>
              <w:t>I fondi nazion</w:t>
            </w:r>
            <w:r w:rsidRPr="00537891">
              <w:rPr>
                <w:rFonts w:ascii="Arial" w:hAnsi="Arial" w:cs="Arial"/>
                <w:b/>
                <w:color w:val="000080"/>
              </w:rPr>
              <w:t>a</w:t>
            </w:r>
            <w:r w:rsidRPr="00537891">
              <w:rPr>
                <w:rFonts w:ascii="Arial" w:hAnsi="Arial" w:cs="Arial"/>
                <w:b/>
                <w:color w:val="000080"/>
              </w:rPr>
              <w:t>li ed europei per la coesione territoriale</w:t>
            </w:r>
          </w:p>
        </w:tc>
        <w:tc>
          <w:tcPr>
            <w:tcW w:w="7099" w:type="dxa"/>
            <w:tcBorders>
              <w:top w:val="nil"/>
              <w:left w:val="nil"/>
              <w:bottom w:val="nil"/>
              <w:right w:val="nil"/>
            </w:tcBorders>
          </w:tcPr>
          <w:p w:rsidR="00537891" w:rsidRPr="00537891" w:rsidRDefault="00537891" w:rsidP="00B807EB">
            <w:pPr>
              <w:pStyle w:val="BodyBullet"/>
              <w:spacing w:after="120"/>
              <w:jc w:val="both"/>
              <w:rPr>
                <w:rFonts w:ascii="Arial" w:hAnsi="Arial" w:cs="Arial"/>
                <w:sz w:val="22"/>
                <w:szCs w:val="22"/>
              </w:rPr>
            </w:pPr>
            <w:r w:rsidRPr="00537891">
              <w:rPr>
                <w:rFonts w:ascii="Arial" w:hAnsi="Arial" w:cs="Arial"/>
                <w:sz w:val="22"/>
                <w:szCs w:val="22"/>
              </w:rPr>
              <w:t>Nel contesto di progressiva diminuzione delle risorse a disposizione per la realizzazione di infrastrutture, i fondi della politica di coesione territoriale -Fondi strutturali europei e Fondo Sviluppo e Coesione (FSC)- hanno acquisito un peso sempre maggiore nella programm</w:t>
            </w:r>
            <w:r w:rsidRPr="00537891">
              <w:rPr>
                <w:rFonts w:ascii="Arial" w:hAnsi="Arial" w:cs="Arial"/>
                <w:sz w:val="22"/>
                <w:szCs w:val="22"/>
              </w:rPr>
              <w:t>a</w:t>
            </w:r>
            <w:r w:rsidRPr="00537891">
              <w:rPr>
                <w:rFonts w:ascii="Arial" w:hAnsi="Arial" w:cs="Arial"/>
                <w:sz w:val="22"/>
                <w:szCs w:val="22"/>
              </w:rPr>
              <w:t>zione delle politiche di investimento a livello regionale, sia nel Centro-Nord che nel Mezzogiorno.</w:t>
            </w:r>
          </w:p>
          <w:p w:rsidR="00537891" w:rsidRPr="00537891" w:rsidRDefault="00537891" w:rsidP="00B807EB">
            <w:pPr>
              <w:pStyle w:val="BodyBullet"/>
              <w:spacing w:after="120"/>
              <w:jc w:val="both"/>
              <w:rPr>
                <w:rFonts w:ascii="Arial" w:hAnsi="Arial" w:cs="Arial"/>
                <w:sz w:val="22"/>
                <w:szCs w:val="22"/>
              </w:rPr>
            </w:pPr>
            <w:r w:rsidRPr="00537891">
              <w:rPr>
                <w:rFonts w:ascii="Arial" w:hAnsi="Arial" w:cs="Arial"/>
                <w:sz w:val="22"/>
                <w:szCs w:val="22"/>
              </w:rPr>
              <w:t>A livello nazionale, secondo le stime dell’Ance, tra il 40 ed il 45% delle risorse destinate ogni anno alle infrastrutture derivano da queste fonti di finanziamento. Il rapido utilizzo di questi fondi rappresenta quindi un elemento determinante per la riuscita della politica infrastrutturale a livello nazionale.</w:t>
            </w:r>
          </w:p>
          <w:p w:rsidR="00537891" w:rsidRPr="00537891" w:rsidRDefault="00537891" w:rsidP="00B807EB">
            <w:pPr>
              <w:pStyle w:val="BodyBullet"/>
              <w:spacing w:after="120"/>
              <w:jc w:val="both"/>
              <w:rPr>
                <w:rFonts w:ascii="Arial" w:hAnsi="Arial" w:cs="Arial"/>
                <w:sz w:val="22"/>
                <w:szCs w:val="22"/>
              </w:rPr>
            </w:pPr>
            <w:r w:rsidRPr="00537891">
              <w:rPr>
                <w:rFonts w:ascii="Arial" w:hAnsi="Arial" w:cs="Arial"/>
                <w:sz w:val="22"/>
                <w:szCs w:val="22"/>
              </w:rPr>
              <w:t>Purtroppo, gli effetti di tali stanziamenti sull’economia regionale e sul mercato delle opere pubbliche sono stati finora di gran lunga inferiori al loro potenziale, in considerazione dei bassi livelli di spesa registrati dai fondi per la politica di coesione.</w:t>
            </w:r>
          </w:p>
          <w:p w:rsidR="00537891" w:rsidRPr="00537891" w:rsidRDefault="00537891" w:rsidP="00B807EB">
            <w:pPr>
              <w:pStyle w:val="BodyBullet"/>
              <w:spacing w:after="120"/>
              <w:jc w:val="both"/>
              <w:rPr>
                <w:rFonts w:ascii="Arial" w:hAnsi="Arial" w:cs="Arial"/>
                <w:sz w:val="22"/>
                <w:szCs w:val="22"/>
              </w:rPr>
            </w:pPr>
            <w:r w:rsidRPr="00537891">
              <w:rPr>
                <w:rFonts w:ascii="Arial" w:hAnsi="Arial" w:cs="Arial"/>
                <w:sz w:val="22"/>
                <w:szCs w:val="22"/>
              </w:rPr>
              <w:t>Appare quindi chiaro che le prospettive di rilancio degli investimenti a livello locale dipendono da un più rapido ed efficace utilizzo di questi fondi.</w:t>
            </w:r>
          </w:p>
          <w:p w:rsidR="00537891" w:rsidRPr="00537891" w:rsidRDefault="00537891" w:rsidP="00B807EB">
            <w:pPr>
              <w:pStyle w:val="BodyBullet"/>
              <w:spacing w:after="120"/>
              <w:jc w:val="both"/>
              <w:rPr>
                <w:rFonts w:ascii="Arial" w:hAnsi="Arial" w:cs="Arial"/>
                <w:sz w:val="22"/>
                <w:szCs w:val="22"/>
              </w:rPr>
            </w:pPr>
            <w:r w:rsidRPr="00537891">
              <w:rPr>
                <w:rFonts w:ascii="Arial" w:hAnsi="Arial" w:cs="Arial"/>
                <w:sz w:val="22"/>
                <w:szCs w:val="22"/>
              </w:rPr>
              <w:t>In particolare, occorre garantire l’integrazione dei fondi e la defin</w:t>
            </w:r>
            <w:r w:rsidRPr="00537891">
              <w:rPr>
                <w:rFonts w:ascii="Arial" w:hAnsi="Arial" w:cs="Arial"/>
                <w:sz w:val="22"/>
                <w:szCs w:val="22"/>
              </w:rPr>
              <w:t>i</w:t>
            </w:r>
            <w:r w:rsidRPr="00537891">
              <w:rPr>
                <w:rFonts w:ascii="Arial" w:hAnsi="Arial" w:cs="Arial"/>
                <w:sz w:val="22"/>
                <w:szCs w:val="22"/>
              </w:rPr>
              <w:t>zione di visioni e strategie unitarie a livello territoriale per l’utilizzo delle r</w:t>
            </w:r>
            <w:r w:rsidRPr="00537891">
              <w:rPr>
                <w:rFonts w:ascii="Arial" w:hAnsi="Arial" w:cs="Arial"/>
                <w:sz w:val="22"/>
                <w:szCs w:val="22"/>
              </w:rPr>
              <w:t>i</w:t>
            </w:r>
            <w:r w:rsidRPr="00537891">
              <w:rPr>
                <w:rFonts w:ascii="Arial" w:hAnsi="Arial" w:cs="Arial"/>
                <w:sz w:val="22"/>
                <w:szCs w:val="22"/>
              </w:rPr>
              <w:t>sorse. Questo significa cambiare approccio rispetto al passato e r</w:t>
            </w:r>
            <w:r w:rsidRPr="00537891">
              <w:rPr>
                <w:rFonts w:ascii="Arial" w:hAnsi="Arial" w:cs="Arial"/>
                <w:sz w:val="22"/>
                <w:szCs w:val="22"/>
              </w:rPr>
              <w:t>a</w:t>
            </w:r>
            <w:r w:rsidRPr="00537891">
              <w:rPr>
                <w:rFonts w:ascii="Arial" w:hAnsi="Arial" w:cs="Arial"/>
                <w:sz w:val="22"/>
                <w:szCs w:val="22"/>
              </w:rPr>
              <w:t>gionare in termini di fabbisogni e progetti sviluppo e non in funzione dei finanziamenti disponibili.</w:t>
            </w:r>
          </w:p>
          <w:p w:rsidR="00537891" w:rsidRPr="00537891" w:rsidRDefault="00537891" w:rsidP="00B807EB">
            <w:pPr>
              <w:pStyle w:val="BodyBullet"/>
              <w:spacing w:after="120"/>
              <w:jc w:val="both"/>
              <w:rPr>
                <w:rFonts w:ascii="Arial" w:hAnsi="Arial" w:cs="Arial"/>
                <w:sz w:val="22"/>
                <w:szCs w:val="22"/>
              </w:rPr>
            </w:pPr>
            <w:r w:rsidRPr="00537891">
              <w:rPr>
                <w:rFonts w:ascii="Arial" w:hAnsi="Arial" w:cs="Arial"/>
                <w:sz w:val="22"/>
                <w:szCs w:val="22"/>
              </w:rPr>
              <w:t>Da questo punto di vista, risultano fondamentali il rafforzamento de</w:t>
            </w:r>
            <w:r w:rsidRPr="00537891">
              <w:rPr>
                <w:rFonts w:ascii="Arial" w:hAnsi="Arial" w:cs="Arial"/>
                <w:sz w:val="22"/>
                <w:szCs w:val="22"/>
              </w:rPr>
              <w:t>l</w:t>
            </w:r>
            <w:r w:rsidRPr="00537891">
              <w:rPr>
                <w:rFonts w:ascii="Arial" w:hAnsi="Arial" w:cs="Arial"/>
                <w:sz w:val="22"/>
                <w:szCs w:val="22"/>
              </w:rPr>
              <w:t xml:space="preserve">la </w:t>
            </w:r>
            <w:proofErr w:type="spellStart"/>
            <w:r w:rsidRPr="00537891">
              <w:rPr>
                <w:rFonts w:ascii="Arial" w:hAnsi="Arial" w:cs="Arial"/>
                <w:sz w:val="22"/>
                <w:szCs w:val="22"/>
              </w:rPr>
              <w:t>governance</w:t>
            </w:r>
            <w:proofErr w:type="spellEnd"/>
            <w:r w:rsidRPr="00537891">
              <w:rPr>
                <w:rFonts w:ascii="Arial" w:hAnsi="Arial" w:cs="Arial"/>
                <w:sz w:val="22"/>
                <w:szCs w:val="22"/>
              </w:rPr>
              <w:t xml:space="preserve"> di queste risorse e l’adozione di misure di accompagn</w:t>
            </w:r>
            <w:r w:rsidRPr="00537891">
              <w:rPr>
                <w:rFonts w:ascii="Arial" w:hAnsi="Arial" w:cs="Arial"/>
                <w:sz w:val="22"/>
                <w:szCs w:val="22"/>
              </w:rPr>
              <w:t>a</w:t>
            </w:r>
            <w:r w:rsidRPr="00537891">
              <w:rPr>
                <w:rFonts w:ascii="Arial" w:hAnsi="Arial" w:cs="Arial"/>
                <w:sz w:val="22"/>
                <w:szCs w:val="22"/>
              </w:rPr>
              <w:t>mento per trasformare le risorse ed i progetti finanziati in vere oppo</w:t>
            </w:r>
            <w:r w:rsidRPr="00537891">
              <w:rPr>
                <w:rFonts w:ascii="Arial" w:hAnsi="Arial" w:cs="Arial"/>
                <w:sz w:val="22"/>
                <w:szCs w:val="22"/>
              </w:rPr>
              <w:t>r</w:t>
            </w:r>
            <w:r w:rsidRPr="00537891">
              <w:rPr>
                <w:rFonts w:ascii="Arial" w:hAnsi="Arial" w:cs="Arial"/>
                <w:sz w:val="22"/>
                <w:szCs w:val="22"/>
              </w:rPr>
              <w:t>tunità di sviluppo.</w:t>
            </w:r>
          </w:p>
          <w:p w:rsidR="00537891" w:rsidRPr="00537891" w:rsidRDefault="00537891" w:rsidP="00B807EB">
            <w:pPr>
              <w:pStyle w:val="BodyBullet"/>
              <w:spacing w:after="120"/>
              <w:jc w:val="both"/>
              <w:rPr>
                <w:rFonts w:ascii="Arial" w:hAnsi="Arial" w:cs="Arial"/>
                <w:sz w:val="22"/>
                <w:szCs w:val="22"/>
              </w:rPr>
            </w:pPr>
            <w:r w:rsidRPr="00537891">
              <w:rPr>
                <w:rFonts w:ascii="Arial" w:hAnsi="Arial" w:cs="Arial"/>
                <w:sz w:val="22"/>
                <w:szCs w:val="22"/>
              </w:rPr>
              <w:t>Complessivamente, le risorse dei fondi strutturali europei e del Fondo Sviluppo e Coesione ammontano a circa 162 miliardi di euro di cui 47 relativi alla programmazione 2007-2013 e 115 miliardi di euro relativi alla programmazione 2014-2020.</w:t>
            </w:r>
          </w:p>
          <w:p w:rsidR="00537891" w:rsidRPr="00537891" w:rsidRDefault="00537891" w:rsidP="00537891">
            <w:pPr>
              <w:pStyle w:val="BodyBullet"/>
              <w:spacing w:after="120"/>
              <w:jc w:val="both"/>
              <w:rPr>
                <w:rFonts w:ascii="Arial" w:hAnsi="Arial" w:cs="Arial"/>
                <w:sz w:val="22"/>
                <w:szCs w:val="22"/>
              </w:rPr>
            </w:pPr>
            <w:r w:rsidRPr="00537891">
              <w:rPr>
                <w:rFonts w:ascii="Arial" w:hAnsi="Arial" w:cs="Arial"/>
                <w:sz w:val="22"/>
                <w:szCs w:val="22"/>
              </w:rPr>
              <w:drawing>
                <wp:inline distT="0" distB="0" distL="0" distR="0" wp14:anchorId="0698A974" wp14:editId="29A97EF7">
                  <wp:extent cx="3799080" cy="2576588"/>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08663" cy="2583087"/>
                          </a:xfrm>
                          <a:prstGeom prst="rect">
                            <a:avLst/>
                          </a:prstGeom>
                          <a:noFill/>
                        </pic:spPr>
                      </pic:pic>
                    </a:graphicData>
                  </a:graphic>
                </wp:inline>
              </w:drawing>
            </w:r>
          </w:p>
        </w:tc>
      </w:tr>
      <w:tr w:rsidR="00537891" w:rsidRPr="002C055B" w:rsidTr="00537891">
        <w:trPr>
          <w:jc w:val="center"/>
        </w:trPr>
        <w:tc>
          <w:tcPr>
            <w:tcW w:w="1698" w:type="dxa"/>
            <w:tcBorders>
              <w:top w:val="nil"/>
              <w:left w:val="nil"/>
              <w:bottom w:val="nil"/>
              <w:right w:val="nil"/>
            </w:tcBorders>
          </w:tcPr>
          <w:p w:rsidR="00537891" w:rsidRPr="00537891" w:rsidRDefault="00537891" w:rsidP="00B807EB">
            <w:pPr>
              <w:spacing w:after="120"/>
              <w:rPr>
                <w:rFonts w:ascii="Arial" w:hAnsi="Arial" w:cs="Arial"/>
                <w:b/>
                <w:color w:val="000080"/>
              </w:rPr>
            </w:pPr>
            <w:r w:rsidRPr="00537891">
              <w:rPr>
                <w:rFonts w:ascii="Arial" w:hAnsi="Arial" w:cs="Arial"/>
                <w:b/>
                <w:color w:val="000080"/>
              </w:rPr>
              <w:t>Le risorse della programm</w:t>
            </w:r>
            <w:r w:rsidRPr="00537891">
              <w:rPr>
                <w:rFonts w:ascii="Arial" w:hAnsi="Arial" w:cs="Arial"/>
                <w:b/>
                <w:color w:val="000080"/>
              </w:rPr>
              <w:t>a</w:t>
            </w:r>
            <w:r w:rsidRPr="00537891">
              <w:rPr>
                <w:rFonts w:ascii="Arial" w:hAnsi="Arial" w:cs="Arial"/>
                <w:b/>
                <w:color w:val="000080"/>
              </w:rPr>
              <w:t>zione 2014-2020 in Emilia-Romagna</w:t>
            </w:r>
          </w:p>
        </w:tc>
        <w:tc>
          <w:tcPr>
            <w:tcW w:w="7099" w:type="dxa"/>
            <w:tcBorders>
              <w:top w:val="nil"/>
              <w:left w:val="nil"/>
              <w:bottom w:val="nil"/>
              <w:right w:val="nil"/>
            </w:tcBorders>
          </w:tcPr>
          <w:p w:rsidR="00537891" w:rsidRPr="00537891" w:rsidRDefault="00537891" w:rsidP="00B807EB">
            <w:pPr>
              <w:pStyle w:val="BodyBullet"/>
              <w:spacing w:after="120"/>
              <w:jc w:val="both"/>
              <w:rPr>
                <w:rFonts w:ascii="Arial" w:hAnsi="Arial" w:cs="Arial"/>
                <w:sz w:val="22"/>
                <w:szCs w:val="22"/>
              </w:rPr>
            </w:pPr>
            <w:r w:rsidRPr="00537891">
              <w:rPr>
                <w:rFonts w:ascii="Arial" w:hAnsi="Arial" w:cs="Arial"/>
                <w:sz w:val="22"/>
                <w:szCs w:val="22"/>
              </w:rPr>
              <w:t>In Emilia-Romagna, le risorse della nuova programmazione 2014-2020 ammontano complessivamente a circa 1.995 miliardi di euro di cui 1.249 milioni di euro di fondi strutturali europei e circa 746 milioni di euro di Fondo Sviluppo e Coesione</w:t>
            </w:r>
            <w:r w:rsidRPr="005A5217">
              <w:rPr>
                <w:rStyle w:val="Rimandonotaapidipagina"/>
                <w:rFonts w:ascii="Arial" w:hAnsi="Arial" w:cs="Arial"/>
                <w:sz w:val="22"/>
                <w:szCs w:val="22"/>
              </w:rPr>
              <w:footnoteReference w:id="1"/>
            </w:r>
            <w:r w:rsidRPr="00537891">
              <w:rPr>
                <w:rFonts w:ascii="Arial" w:hAnsi="Arial" w:cs="Arial"/>
                <w:sz w:val="22"/>
                <w:szCs w:val="22"/>
              </w:rPr>
              <w:t xml:space="preserve"> (FSC).</w:t>
            </w:r>
          </w:p>
          <w:p w:rsidR="00537891" w:rsidRPr="00537891" w:rsidRDefault="00537891" w:rsidP="00B807EB">
            <w:pPr>
              <w:pStyle w:val="BodyBullet"/>
              <w:spacing w:after="120"/>
              <w:jc w:val="both"/>
              <w:rPr>
                <w:rFonts w:ascii="Arial" w:hAnsi="Arial" w:cs="Arial"/>
                <w:sz w:val="22"/>
                <w:szCs w:val="22"/>
              </w:rPr>
            </w:pPr>
            <w:r w:rsidRPr="00537891">
              <w:rPr>
                <w:rFonts w:ascii="Arial" w:hAnsi="Arial" w:cs="Arial"/>
                <w:sz w:val="22"/>
                <w:szCs w:val="22"/>
              </w:rPr>
              <w:t xml:space="preserve">In particolare, le risorse dei fondi strutturali europei sono programmate nell’ambito dei due Programmi Operativi Regionali del Fondo Europeo di Sviluppo Regionale (FESR) e del Fondo Sociale Europeo (FSE), dotati rispettivamente di 463,1 milioni di euro 786,2 milioni di euro. </w:t>
            </w:r>
          </w:p>
          <w:p w:rsidR="00537891" w:rsidRPr="00537891" w:rsidRDefault="00537891" w:rsidP="00537891">
            <w:pPr>
              <w:pStyle w:val="BodyBullet"/>
              <w:spacing w:after="120"/>
              <w:jc w:val="both"/>
              <w:rPr>
                <w:rFonts w:ascii="Arial" w:hAnsi="Arial" w:cs="Arial"/>
                <w:sz w:val="22"/>
                <w:szCs w:val="22"/>
              </w:rPr>
            </w:pPr>
            <w:r w:rsidRPr="00537891">
              <w:rPr>
                <w:rFonts w:ascii="Arial" w:hAnsi="Arial" w:cs="Arial"/>
                <w:sz w:val="22"/>
                <w:szCs w:val="22"/>
              </w:rPr>
              <w:drawing>
                <wp:inline distT="0" distB="0" distL="0" distR="0" wp14:anchorId="7576BCAA" wp14:editId="6730CB0E">
                  <wp:extent cx="4366322" cy="298132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68069" cy="2982518"/>
                          </a:xfrm>
                          <a:prstGeom prst="rect">
                            <a:avLst/>
                          </a:prstGeom>
                          <a:noFill/>
                        </pic:spPr>
                      </pic:pic>
                    </a:graphicData>
                  </a:graphic>
                </wp:inline>
              </w:drawing>
            </w:r>
          </w:p>
          <w:p w:rsidR="005261C2" w:rsidRDefault="005261C2" w:rsidP="00537891">
            <w:pPr>
              <w:pStyle w:val="BodyBullet"/>
              <w:spacing w:after="120"/>
              <w:jc w:val="both"/>
              <w:rPr>
                <w:rFonts w:ascii="Arial" w:hAnsi="Arial" w:cs="Arial"/>
                <w:sz w:val="22"/>
                <w:szCs w:val="22"/>
              </w:rPr>
            </w:pPr>
          </w:p>
          <w:p w:rsidR="00537891" w:rsidRPr="00537891" w:rsidRDefault="00537891" w:rsidP="00537891">
            <w:pPr>
              <w:pStyle w:val="BodyBullet"/>
              <w:spacing w:after="120"/>
              <w:jc w:val="both"/>
              <w:rPr>
                <w:rFonts w:ascii="Arial" w:hAnsi="Arial" w:cs="Arial"/>
                <w:sz w:val="22"/>
                <w:szCs w:val="22"/>
              </w:rPr>
            </w:pPr>
            <w:r w:rsidRPr="00537891">
              <w:rPr>
                <w:rFonts w:ascii="Arial" w:hAnsi="Arial" w:cs="Arial"/>
                <w:sz w:val="22"/>
                <w:szCs w:val="22"/>
              </w:rPr>
              <w:t>Nell’ambito del programma del Fondo Europeo per lo Sviluppo Regi</w:t>
            </w:r>
            <w:r w:rsidRPr="00537891">
              <w:rPr>
                <w:rFonts w:ascii="Arial" w:hAnsi="Arial" w:cs="Arial"/>
                <w:sz w:val="22"/>
                <w:szCs w:val="22"/>
              </w:rPr>
              <w:t>o</w:t>
            </w:r>
            <w:r w:rsidRPr="00537891">
              <w:rPr>
                <w:rFonts w:ascii="Arial" w:hAnsi="Arial" w:cs="Arial"/>
                <w:sz w:val="22"/>
                <w:szCs w:val="22"/>
              </w:rPr>
              <w:t>nale, la Regione Emilia-Romagna ha scelto di finanziare in particolare le seguenti misure:</w:t>
            </w:r>
          </w:p>
          <w:p w:rsidR="00537891" w:rsidRPr="00537891" w:rsidRDefault="00537891" w:rsidP="00B807EB">
            <w:pPr>
              <w:pStyle w:val="BodyBullet"/>
              <w:numPr>
                <w:ilvl w:val="0"/>
                <w:numId w:val="31"/>
              </w:numPr>
              <w:jc w:val="both"/>
              <w:rPr>
                <w:rFonts w:ascii="Arial" w:hAnsi="Arial" w:cs="Arial"/>
                <w:sz w:val="22"/>
                <w:szCs w:val="22"/>
              </w:rPr>
            </w:pPr>
            <w:r w:rsidRPr="00537891">
              <w:rPr>
                <w:rFonts w:ascii="Arial" w:hAnsi="Arial" w:cs="Arial"/>
                <w:sz w:val="22"/>
                <w:szCs w:val="22"/>
              </w:rPr>
              <w:t>Ricerca, sviluppo tecnologico e innovazione per circa 140,6 m</w:t>
            </w:r>
            <w:r w:rsidRPr="00537891">
              <w:rPr>
                <w:rFonts w:ascii="Arial" w:hAnsi="Arial" w:cs="Arial"/>
                <w:sz w:val="22"/>
                <w:szCs w:val="22"/>
              </w:rPr>
              <w:t>i</w:t>
            </w:r>
            <w:r w:rsidRPr="00537891">
              <w:rPr>
                <w:rFonts w:ascii="Arial" w:hAnsi="Arial" w:cs="Arial"/>
                <w:sz w:val="22"/>
                <w:szCs w:val="22"/>
              </w:rPr>
              <w:t>lioni di euro;</w:t>
            </w:r>
          </w:p>
          <w:p w:rsidR="00537891" w:rsidRPr="00537891" w:rsidRDefault="00537891" w:rsidP="00B807EB">
            <w:pPr>
              <w:pStyle w:val="BodyBullet"/>
              <w:numPr>
                <w:ilvl w:val="0"/>
                <w:numId w:val="31"/>
              </w:numPr>
              <w:jc w:val="both"/>
              <w:rPr>
                <w:rFonts w:ascii="Arial" w:hAnsi="Arial" w:cs="Arial"/>
                <w:sz w:val="22"/>
                <w:szCs w:val="22"/>
              </w:rPr>
            </w:pPr>
            <w:r w:rsidRPr="00537891">
              <w:rPr>
                <w:rFonts w:ascii="Arial" w:hAnsi="Arial" w:cs="Arial"/>
                <w:sz w:val="22"/>
                <w:szCs w:val="22"/>
              </w:rPr>
              <w:t>Agenda digitale, per circa 30,1 milioni di euro;</w:t>
            </w:r>
          </w:p>
          <w:p w:rsidR="00537891" w:rsidRPr="00537891" w:rsidRDefault="00537891" w:rsidP="00B807EB">
            <w:pPr>
              <w:pStyle w:val="BodyBullet"/>
              <w:numPr>
                <w:ilvl w:val="0"/>
                <w:numId w:val="31"/>
              </w:numPr>
              <w:jc w:val="both"/>
              <w:rPr>
                <w:rFonts w:ascii="Arial" w:hAnsi="Arial" w:cs="Arial"/>
                <w:sz w:val="22"/>
                <w:szCs w:val="22"/>
              </w:rPr>
            </w:pPr>
            <w:r w:rsidRPr="00537891">
              <w:rPr>
                <w:rFonts w:ascii="Arial" w:hAnsi="Arial" w:cs="Arial"/>
                <w:sz w:val="22"/>
                <w:szCs w:val="22"/>
              </w:rPr>
              <w:t>Competitività dei sistemi produttivi per circa 120,5 milioni di e</w:t>
            </w:r>
            <w:r w:rsidRPr="00537891">
              <w:rPr>
                <w:rFonts w:ascii="Arial" w:hAnsi="Arial" w:cs="Arial"/>
                <w:sz w:val="22"/>
                <w:szCs w:val="22"/>
              </w:rPr>
              <w:t>u</w:t>
            </w:r>
            <w:r w:rsidRPr="00537891">
              <w:rPr>
                <w:rFonts w:ascii="Arial" w:hAnsi="Arial" w:cs="Arial"/>
                <w:sz w:val="22"/>
                <w:szCs w:val="22"/>
              </w:rPr>
              <w:t>ro;</w:t>
            </w:r>
          </w:p>
          <w:p w:rsidR="00537891" w:rsidRPr="00537891" w:rsidRDefault="00537891" w:rsidP="00B807EB">
            <w:pPr>
              <w:pStyle w:val="BodyBullet"/>
              <w:numPr>
                <w:ilvl w:val="0"/>
                <w:numId w:val="31"/>
              </w:numPr>
              <w:jc w:val="both"/>
              <w:rPr>
                <w:rFonts w:ascii="Arial" w:hAnsi="Arial" w:cs="Arial"/>
                <w:sz w:val="22"/>
                <w:szCs w:val="22"/>
              </w:rPr>
            </w:pPr>
            <w:r w:rsidRPr="00537891">
              <w:rPr>
                <w:rFonts w:ascii="Arial" w:hAnsi="Arial" w:cs="Arial"/>
                <w:sz w:val="22"/>
                <w:szCs w:val="22"/>
              </w:rPr>
              <w:t>Energia sostenibile e qualità della vita per circa 104,4 milioni di euro;</w:t>
            </w:r>
          </w:p>
          <w:p w:rsidR="00537891" w:rsidRPr="00537891" w:rsidRDefault="00537891" w:rsidP="00B807EB">
            <w:pPr>
              <w:pStyle w:val="BodyBullet"/>
              <w:numPr>
                <w:ilvl w:val="0"/>
                <w:numId w:val="31"/>
              </w:numPr>
              <w:jc w:val="both"/>
              <w:rPr>
                <w:rFonts w:ascii="Arial" w:hAnsi="Arial" w:cs="Arial"/>
                <w:sz w:val="22"/>
                <w:szCs w:val="22"/>
              </w:rPr>
            </w:pPr>
            <w:r w:rsidRPr="00537891">
              <w:rPr>
                <w:rFonts w:ascii="Arial" w:hAnsi="Arial" w:cs="Arial"/>
                <w:sz w:val="22"/>
                <w:szCs w:val="22"/>
              </w:rPr>
              <w:t>Clima e rischi ambientali per 37,6 milioni di euro;</w:t>
            </w:r>
          </w:p>
          <w:p w:rsidR="00537891" w:rsidRPr="00537891" w:rsidRDefault="00537891" w:rsidP="00B807EB">
            <w:pPr>
              <w:pStyle w:val="BodyBullet"/>
              <w:numPr>
                <w:ilvl w:val="0"/>
                <w:numId w:val="31"/>
              </w:numPr>
              <w:jc w:val="both"/>
              <w:rPr>
                <w:rFonts w:ascii="Arial" w:hAnsi="Arial" w:cs="Arial"/>
                <w:sz w:val="22"/>
                <w:szCs w:val="22"/>
              </w:rPr>
            </w:pPr>
            <w:r w:rsidRPr="00537891">
              <w:rPr>
                <w:rFonts w:ascii="Arial" w:hAnsi="Arial" w:cs="Arial"/>
                <w:sz w:val="22"/>
                <w:szCs w:val="22"/>
              </w:rPr>
              <w:t>Tutela dell’ambiente e delle risorse culturali per circa  milioni di euro;</w:t>
            </w:r>
          </w:p>
          <w:p w:rsidR="00537891" w:rsidRPr="00537891" w:rsidRDefault="00537891" w:rsidP="00B807EB">
            <w:pPr>
              <w:pStyle w:val="BodyBullet"/>
              <w:numPr>
                <w:ilvl w:val="0"/>
                <w:numId w:val="31"/>
              </w:numPr>
              <w:spacing w:after="120"/>
              <w:jc w:val="both"/>
              <w:rPr>
                <w:rFonts w:ascii="Arial" w:hAnsi="Arial" w:cs="Arial"/>
                <w:sz w:val="22"/>
                <w:szCs w:val="22"/>
              </w:rPr>
            </w:pPr>
            <w:r w:rsidRPr="00537891">
              <w:rPr>
                <w:rFonts w:ascii="Arial" w:hAnsi="Arial" w:cs="Arial"/>
                <w:sz w:val="22"/>
                <w:szCs w:val="22"/>
              </w:rPr>
              <w:t>Sviluppo Urbano Sostenibile per 30 milioni di euro</w:t>
            </w:r>
          </w:p>
          <w:p w:rsidR="00537891" w:rsidRPr="00537891" w:rsidRDefault="00537891" w:rsidP="00B807EB">
            <w:pPr>
              <w:pStyle w:val="BodyBullet"/>
              <w:spacing w:after="120"/>
              <w:jc w:val="both"/>
              <w:rPr>
                <w:rFonts w:ascii="Arial" w:hAnsi="Arial" w:cs="Arial"/>
                <w:sz w:val="22"/>
                <w:szCs w:val="22"/>
              </w:rPr>
            </w:pPr>
            <w:r w:rsidRPr="00537891">
              <w:rPr>
                <w:rFonts w:ascii="Arial" w:hAnsi="Arial" w:cs="Arial"/>
                <w:sz w:val="22"/>
                <w:szCs w:val="22"/>
              </w:rPr>
              <w:t>A queste risorse si aggiungono ulteriori risorse dei fondi strutturali e</w:t>
            </w:r>
            <w:r w:rsidRPr="00537891">
              <w:rPr>
                <w:rFonts w:ascii="Arial" w:hAnsi="Arial" w:cs="Arial"/>
                <w:sz w:val="22"/>
                <w:szCs w:val="22"/>
              </w:rPr>
              <w:t>u</w:t>
            </w:r>
            <w:r w:rsidRPr="00537891">
              <w:rPr>
                <w:rFonts w:ascii="Arial" w:hAnsi="Arial" w:cs="Arial"/>
                <w:sz w:val="22"/>
                <w:szCs w:val="22"/>
              </w:rPr>
              <w:t>ropei, derivanti da 6 Programmi Operativi Nazionali (Città metropolit</w:t>
            </w:r>
            <w:r w:rsidRPr="00537891">
              <w:rPr>
                <w:rFonts w:ascii="Arial" w:hAnsi="Arial" w:cs="Arial"/>
                <w:sz w:val="22"/>
                <w:szCs w:val="22"/>
              </w:rPr>
              <w:t>a</w:t>
            </w:r>
            <w:r w:rsidRPr="00537891">
              <w:rPr>
                <w:rFonts w:ascii="Arial" w:hAnsi="Arial" w:cs="Arial"/>
                <w:sz w:val="22"/>
                <w:szCs w:val="22"/>
              </w:rPr>
              <w:t xml:space="preserve">ne, Istruzione, Occupazione, Inclusione, </w:t>
            </w:r>
            <w:proofErr w:type="spellStart"/>
            <w:r w:rsidRPr="00537891">
              <w:rPr>
                <w:rFonts w:ascii="Arial" w:hAnsi="Arial" w:cs="Arial"/>
                <w:sz w:val="22"/>
                <w:szCs w:val="22"/>
              </w:rPr>
              <w:t>Governance</w:t>
            </w:r>
            <w:proofErr w:type="spellEnd"/>
            <w:r w:rsidRPr="00537891">
              <w:rPr>
                <w:rFonts w:ascii="Arial" w:hAnsi="Arial" w:cs="Arial"/>
                <w:sz w:val="22"/>
                <w:szCs w:val="22"/>
              </w:rPr>
              <w:t xml:space="preserve">, Youth </w:t>
            </w:r>
            <w:proofErr w:type="spellStart"/>
            <w:r w:rsidRPr="00537891">
              <w:rPr>
                <w:rFonts w:ascii="Arial" w:hAnsi="Arial" w:cs="Arial"/>
                <w:sz w:val="22"/>
                <w:szCs w:val="22"/>
              </w:rPr>
              <w:t>European</w:t>
            </w:r>
            <w:proofErr w:type="spellEnd"/>
            <w:r w:rsidRPr="00537891">
              <w:rPr>
                <w:rFonts w:ascii="Arial" w:hAnsi="Arial" w:cs="Arial"/>
                <w:sz w:val="22"/>
                <w:szCs w:val="22"/>
              </w:rPr>
              <w:t xml:space="preserve"> </w:t>
            </w:r>
            <w:proofErr w:type="spellStart"/>
            <w:r w:rsidRPr="00537891">
              <w:rPr>
                <w:rFonts w:ascii="Arial" w:hAnsi="Arial" w:cs="Arial"/>
                <w:sz w:val="22"/>
                <w:szCs w:val="22"/>
              </w:rPr>
              <w:t>Initiative</w:t>
            </w:r>
            <w:proofErr w:type="spellEnd"/>
            <w:r w:rsidRPr="00537891">
              <w:rPr>
                <w:rFonts w:ascii="Arial" w:hAnsi="Arial" w:cs="Arial"/>
                <w:sz w:val="22"/>
                <w:szCs w:val="22"/>
              </w:rPr>
              <w:t>).</w:t>
            </w:r>
          </w:p>
          <w:p w:rsidR="00537891" w:rsidRPr="00537891" w:rsidRDefault="00537891" w:rsidP="00B807EB">
            <w:pPr>
              <w:pStyle w:val="BodyBullet"/>
              <w:spacing w:after="120"/>
              <w:jc w:val="both"/>
              <w:rPr>
                <w:rFonts w:ascii="Arial" w:hAnsi="Arial" w:cs="Arial"/>
                <w:sz w:val="22"/>
                <w:szCs w:val="22"/>
              </w:rPr>
            </w:pPr>
            <w:r w:rsidRPr="00537891">
              <w:rPr>
                <w:rFonts w:ascii="Arial" w:hAnsi="Arial" w:cs="Arial"/>
                <w:sz w:val="22"/>
                <w:szCs w:val="22"/>
              </w:rPr>
              <w:t>I programmi di utilizzo delle risorse del Fondo Sviluppo e Coesione 2014-2020 destinate all’Emilia-Romagna -circa 746 milioni di euro tra fondi gestiti a livello nazionale e a livello regionale- dovranno invece essere definiti nei prossimi mesi sulla base delle delibere CIPE da adottare entro l’estate.</w:t>
            </w:r>
          </w:p>
        </w:tc>
      </w:tr>
      <w:tr w:rsidR="00537891" w:rsidRPr="007A2610" w:rsidTr="00537891">
        <w:trPr>
          <w:jc w:val="center"/>
        </w:trPr>
        <w:tc>
          <w:tcPr>
            <w:tcW w:w="1698" w:type="dxa"/>
            <w:tcBorders>
              <w:top w:val="nil"/>
              <w:left w:val="nil"/>
              <w:bottom w:val="nil"/>
              <w:right w:val="nil"/>
            </w:tcBorders>
          </w:tcPr>
          <w:p w:rsidR="00537891" w:rsidRPr="00537891" w:rsidRDefault="00537891" w:rsidP="00B807EB">
            <w:pPr>
              <w:spacing w:after="120"/>
              <w:rPr>
                <w:rFonts w:ascii="Arial" w:hAnsi="Arial" w:cs="Arial"/>
                <w:b/>
                <w:color w:val="000080"/>
              </w:rPr>
            </w:pPr>
            <w:r w:rsidRPr="00537891">
              <w:rPr>
                <w:rFonts w:ascii="Arial" w:hAnsi="Arial" w:cs="Arial"/>
                <w:b/>
                <w:color w:val="000080"/>
              </w:rPr>
              <w:t>Le risorse della programm</w:t>
            </w:r>
            <w:r w:rsidRPr="00537891">
              <w:rPr>
                <w:rFonts w:ascii="Arial" w:hAnsi="Arial" w:cs="Arial"/>
                <w:b/>
                <w:color w:val="000080"/>
              </w:rPr>
              <w:t>a</w:t>
            </w:r>
            <w:r w:rsidRPr="00537891">
              <w:rPr>
                <w:rFonts w:ascii="Arial" w:hAnsi="Arial" w:cs="Arial"/>
                <w:b/>
                <w:color w:val="000080"/>
              </w:rPr>
              <w:t>zione 2007-2013 in Emilia-Romagna</w:t>
            </w:r>
          </w:p>
        </w:tc>
        <w:tc>
          <w:tcPr>
            <w:tcW w:w="7099" w:type="dxa"/>
            <w:tcBorders>
              <w:top w:val="nil"/>
              <w:left w:val="nil"/>
              <w:bottom w:val="nil"/>
              <w:right w:val="nil"/>
            </w:tcBorders>
          </w:tcPr>
          <w:p w:rsidR="00537891" w:rsidRPr="00537891" w:rsidRDefault="00537891" w:rsidP="00B807EB">
            <w:pPr>
              <w:pStyle w:val="BodyBullet"/>
              <w:spacing w:after="120"/>
              <w:jc w:val="both"/>
              <w:rPr>
                <w:rFonts w:ascii="Arial" w:hAnsi="Arial" w:cs="Arial"/>
                <w:sz w:val="22"/>
                <w:szCs w:val="22"/>
              </w:rPr>
            </w:pPr>
            <w:r w:rsidRPr="00537891">
              <w:rPr>
                <w:rFonts w:ascii="Arial" w:hAnsi="Arial" w:cs="Arial"/>
                <w:sz w:val="22"/>
                <w:szCs w:val="22"/>
              </w:rPr>
              <w:t>Per il settore delle costruzioni, alcune opportunità di lavoro derivano anche dall’utilizzo delle risorse residue relative al periodo 2007-2013.</w:t>
            </w:r>
          </w:p>
          <w:p w:rsidR="00537891" w:rsidRPr="00537891" w:rsidRDefault="00537891" w:rsidP="00B807EB">
            <w:pPr>
              <w:pStyle w:val="BodyBullet"/>
              <w:spacing w:after="120"/>
              <w:jc w:val="both"/>
              <w:rPr>
                <w:rFonts w:ascii="Arial" w:hAnsi="Arial" w:cs="Arial"/>
                <w:sz w:val="22"/>
                <w:szCs w:val="22"/>
              </w:rPr>
            </w:pPr>
            <w:r w:rsidRPr="00537891">
              <w:rPr>
                <w:rFonts w:ascii="Arial" w:hAnsi="Arial" w:cs="Arial"/>
                <w:sz w:val="22"/>
                <w:szCs w:val="22"/>
              </w:rPr>
              <w:t>Per quanto riguarda i fondi strutturali, circa il 22% delle risorse del POR FESR 2007-2013 della Regione Emilia-Romagna, pari a circa 85  milioni di euro devono essere spese nel 2015. A fine 2014, infatti, la spesa certificata dalla Regione era pari a circa il 78% dell’importo del programma (9° posizione in Italia).</w:t>
            </w:r>
          </w:p>
          <w:p w:rsidR="00537891" w:rsidRPr="00537891" w:rsidRDefault="00537891" w:rsidP="00537891">
            <w:pPr>
              <w:pStyle w:val="BodyBullet"/>
              <w:spacing w:after="120"/>
              <w:jc w:val="both"/>
              <w:rPr>
                <w:rFonts w:ascii="Arial" w:hAnsi="Arial" w:cs="Arial"/>
                <w:sz w:val="22"/>
                <w:szCs w:val="22"/>
              </w:rPr>
            </w:pPr>
            <w:r w:rsidRPr="00537891">
              <w:rPr>
                <w:rFonts w:ascii="Arial" w:hAnsi="Arial" w:cs="Arial"/>
                <w:sz w:val="22"/>
                <w:szCs w:val="22"/>
              </w:rPr>
              <w:drawing>
                <wp:inline distT="0" distB="0" distL="0" distR="0" wp14:anchorId="0434F33A" wp14:editId="7E63B655">
                  <wp:extent cx="4371346" cy="2861137"/>
                  <wp:effectExtent l="0" t="0" r="0" b="0"/>
                  <wp:docPr id="675" name="Immagin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73323" cy="2862431"/>
                          </a:xfrm>
                          <a:prstGeom prst="rect">
                            <a:avLst/>
                          </a:prstGeom>
                          <a:noFill/>
                        </pic:spPr>
                      </pic:pic>
                    </a:graphicData>
                  </a:graphic>
                </wp:inline>
              </w:drawing>
            </w:r>
          </w:p>
          <w:p w:rsidR="005261C2" w:rsidRDefault="005261C2" w:rsidP="00B807EB">
            <w:pPr>
              <w:pStyle w:val="BodyBullet"/>
              <w:spacing w:after="120"/>
              <w:jc w:val="both"/>
              <w:rPr>
                <w:rFonts w:ascii="Arial" w:hAnsi="Arial" w:cs="Arial"/>
                <w:sz w:val="22"/>
                <w:szCs w:val="22"/>
              </w:rPr>
            </w:pPr>
          </w:p>
          <w:p w:rsidR="00537891" w:rsidRPr="00537891" w:rsidRDefault="00537891" w:rsidP="00B807EB">
            <w:pPr>
              <w:pStyle w:val="BodyBullet"/>
              <w:spacing w:after="120"/>
              <w:jc w:val="both"/>
              <w:rPr>
                <w:rFonts w:ascii="Arial" w:hAnsi="Arial" w:cs="Arial"/>
                <w:sz w:val="22"/>
                <w:szCs w:val="22"/>
              </w:rPr>
            </w:pPr>
            <w:r w:rsidRPr="00537891">
              <w:rPr>
                <w:rFonts w:ascii="Arial" w:hAnsi="Arial" w:cs="Arial"/>
                <w:sz w:val="22"/>
                <w:szCs w:val="22"/>
              </w:rPr>
              <w:t>A queste risorse, si aggiungono 163 milioni di euro di fondi FSE 2007-2013.</w:t>
            </w:r>
          </w:p>
          <w:p w:rsidR="00537891" w:rsidRPr="00537891" w:rsidRDefault="00537891" w:rsidP="00B807EB">
            <w:pPr>
              <w:pStyle w:val="BodyBullet"/>
              <w:spacing w:after="120"/>
              <w:jc w:val="both"/>
              <w:rPr>
                <w:rFonts w:ascii="Arial" w:hAnsi="Arial" w:cs="Arial"/>
                <w:sz w:val="22"/>
                <w:szCs w:val="22"/>
              </w:rPr>
            </w:pPr>
            <w:r w:rsidRPr="00537891">
              <w:rPr>
                <w:rFonts w:ascii="Arial" w:hAnsi="Arial" w:cs="Arial"/>
                <w:sz w:val="22"/>
                <w:szCs w:val="22"/>
              </w:rPr>
              <w:t>Per quanto riguarda il programma del Fondo Sviluppo e Coesione, s</w:t>
            </w:r>
            <w:r w:rsidRPr="00537891">
              <w:rPr>
                <w:rFonts w:ascii="Arial" w:hAnsi="Arial" w:cs="Arial"/>
                <w:sz w:val="22"/>
                <w:szCs w:val="22"/>
              </w:rPr>
              <w:t>e</w:t>
            </w:r>
            <w:r w:rsidRPr="00537891">
              <w:rPr>
                <w:rFonts w:ascii="Arial" w:hAnsi="Arial" w:cs="Arial"/>
                <w:sz w:val="22"/>
                <w:szCs w:val="22"/>
              </w:rPr>
              <w:t>condo i dati pubblicati dal Governo nel documento di Economia e F</w:t>
            </w:r>
            <w:r w:rsidRPr="00537891">
              <w:rPr>
                <w:rFonts w:ascii="Arial" w:hAnsi="Arial" w:cs="Arial"/>
                <w:sz w:val="22"/>
                <w:szCs w:val="22"/>
              </w:rPr>
              <w:t>i</w:t>
            </w:r>
            <w:r w:rsidRPr="00537891">
              <w:rPr>
                <w:rFonts w:ascii="Arial" w:hAnsi="Arial" w:cs="Arial"/>
                <w:sz w:val="22"/>
                <w:szCs w:val="22"/>
              </w:rPr>
              <w:t>nanza (DEF) di aprile 2015, i tre quarti delle risorse del programma regionale 2007-2013 della Regione Emilia-Romagna, devono ancora essere spese. A fine 2014, infatti, la spesa dalla Regione era pari solo al 25% dell’importo del programma.</w:t>
            </w:r>
          </w:p>
          <w:p w:rsidR="00537891" w:rsidRDefault="00537891" w:rsidP="00537891">
            <w:pPr>
              <w:pStyle w:val="BodyBullet"/>
              <w:spacing w:after="120"/>
              <w:jc w:val="both"/>
              <w:rPr>
                <w:rFonts w:ascii="Arial" w:hAnsi="Arial" w:cs="Arial"/>
                <w:sz w:val="22"/>
                <w:szCs w:val="22"/>
              </w:rPr>
            </w:pPr>
            <w:r w:rsidRPr="00537891">
              <w:rPr>
                <w:rFonts w:ascii="Arial" w:hAnsi="Arial" w:cs="Arial"/>
                <w:sz w:val="22"/>
                <w:szCs w:val="22"/>
              </w:rPr>
              <w:drawing>
                <wp:inline distT="0" distB="0" distL="0" distR="0" wp14:anchorId="5256D8E8" wp14:editId="68CC2A33">
                  <wp:extent cx="4312520" cy="2828925"/>
                  <wp:effectExtent l="0" t="0" r="0" b="0"/>
                  <wp:docPr id="674" name="Immagin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13648" cy="2829665"/>
                          </a:xfrm>
                          <a:prstGeom prst="rect">
                            <a:avLst/>
                          </a:prstGeom>
                          <a:noFill/>
                        </pic:spPr>
                      </pic:pic>
                    </a:graphicData>
                  </a:graphic>
                </wp:inline>
              </w:drawing>
            </w:r>
          </w:p>
          <w:p w:rsidR="00537891" w:rsidRPr="00537891" w:rsidRDefault="00537891" w:rsidP="00B807EB">
            <w:pPr>
              <w:pStyle w:val="BodyBullet"/>
              <w:spacing w:after="120"/>
              <w:jc w:val="both"/>
              <w:rPr>
                <w:rFonts w:ascii="Arial" w:hAnsi="Arial" w:cs="Arial"/>
                <w:sz w:val="22"/>
                <w:szCs w:val="22"/>
              </w:rPr>
            </w:pPr>
          </w:p>
        </w:tc>
      </w:tr>
    </w:tbl>
    <w:p w:rsidR="00256DCA" w:rsidRDefault="00256DCA" w:rsidP="00256DCA"/>
    <w:p w:rsidR="008A1BDE" w:rsidRDefault="008A1BDE" w:rsidP="00A467E7">
      <w:pPr>
        <w:suppressAutoHyphens/>
        <w:spacing w:after="120"/>
        <w:rPr>
          <w:rFonts w:ascii="Arial" w:hAnsi="Arial" w:cs="Arial"/>
          <w:b/>
          <w:color w:val="000080"/>
          <w:szCs w:val="18"/>
        </w:rPr>
      </w:pPr>
    </w:p>
    <w:p w:rsidR="008A1BDE" w:rsidRDefault="008A1BDE" w:rsidP="00A467E7">
      <w:pPr>
        <w:suppressAutoHyphens/>
        <w:spacing w:after="120"/>
        <w:rPr>
          <w:rFonts w:ascii="Arial" w:hAnsi="Arial" w:cs="Arial"/>
          <w:b/>
          <w:color w:val="000080"/>
          <w:szCs w:val="18"/>
        </w:rPr>
      </w:pPr>
    </w:p>
    <w:p w:rsidR="00E3313C" w:rsidRDefault="00E3313C" w:rsidP="00A467E7">
      <w:pPr>
        <w:suppressAutoHyphens/>
        <w:spacing w:after="120"/>
        <w:rPr>
          <w:rFonts w:ascii="Arial" w:hAnsi="Arial" w:cs="Arial"/>
          <w:b/>
          <w:color w:val="000080"/>
          <w:szCs w:val="18"/>
        </w:rPr>
        <w:sectPr w:rsidR="00E3313C" w:rsidSect="005E467B">
          <w:headerReference w:type="default" r:id="rId45"/>
          <w:footerReference w:type="default" r:id="rId46"/>
          <w:headerReference w:type="first" r:id="rId47"/>
          <w:type w:val="oddPage"/>
          <w:pgSz w:w="11906" w:h="16838"/>
          <w:pgMar w:top="1701" w:right="1701" w:bottom="1701" w:left="1701" w:header="709" w:footer="709" w:gutter="0"/>
          <w:cols w:space="708"/>
          <w:docGrid w:linePitch="360"/>
        </w:sectPr>
      </w:pPr>
    </w:p>
    <w:p w:rsidR="00A467E7" w:rsidRDefault="00941B2E" w:rsidP="002E7FD4">
      <w:pPr>
        <w:pStyle w:val="Titolo1"/>
      </w:pPr>
      <w:bookmarkStart w:id="22" w:name="_Toc421177346"/>
      <w:r>
        <w:t>All</w:t>
      </w:r>
      <w:r w:rsidR="002E7FD4">
        <w:t>egato statistico</w:t>
      </w:r>
      <w:bookmarkEnd w:id="22"/>
    </w:p>
    <w:p w:rsidR="00F211A9" w:rsidRDefault="00A72830" w:rsidP="004E2A33">
      <w:pPr>
        <w:jc w:val="center"/>
      </w:pPr>
      <w:r>
        <w:rPr>
          <w:noProof/>
        </w:rPr>
        <mc:AlternateContent>
          <mc:Choice Requires="wps">
            <w:drawing>
              <wp:anchor distT="0" distB="0" distL="114300" distR="114300" simplePos="0" relativeHeight="253114368" behindDoc="0" locked="0" layoutInCell="1" allowOverlap="1" wp14:anchorId="3460A1DA" wp14:editId="7A2DEE8D">
                <wp:simplePos x="0" y="0"/>
                <wp:positionH relativeFrom="column">
                  <wp:posOffset>31115</wp:posOffset>
                </wp:positionH>
                <wp:positionV relativeFrom="paragraph">
                  <wp:posOffset>111125</wp:posOffset>
                </wp:positionV>
                <wp:extent cx="5441950" cy="279400"/>
                <wp:effectExtent l="38100" t="19050" r="82550" b="101600"/>
                <wp:wrapNone/>
                <wp:docPr id="4"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1950" cy="279400"/>
                        </a:xfrm>
                        <a:prstGeom prst="rect">
                          <a:avLst/>
                        </a:prstGeom>
                        <a:solidFill>
                          <a:srgbClr val="FFFFFF"/>
                        </a:solidFill>
                        <a:ln w="12700" algn="ctr">
                          <a:solidFill>
                            <a:srgbClr val="FABF8F"/>
                          </a:solidFill>
                          <a:miter lim="800000"/>
                          <a:headEnd/>
                          <a:tailEnd/>
                        </a:ln>
                        <a:effectLst>
                          <a:outerShdw blurRad="40000" dist="28398" dir="3806097" algn="ctr" rotWithShape="0">
                            <a:srgbClr val="974706">
                              <a:alpha val="50000"/>
                            </a:srgbClr>
                          </a:outerShdw>
                        </a:effectLst>
                      </wps:spPr>
                      <wps:txbx>
                        <w:txbxContent>
                          <w:p w:rsidR="00A16BCD" w:rsidRPr="00A04785" w:rsidRDefault="00A16BCD" w:rsidP="004E2A33">
                            <w:pPr>
                              <w:pStyle w:val="NormaleWeb"/>
                              <w:textAlignment w:val="baseline"/>
                              <w:rPr>
                                <w:rFonts w:ascii="Arial" w:hAnsi="Arial" w:cs="Arial"/>
                                <w:b/>
                                <w:smallCaps/>
                                <w:color w:val="000080"/>
                                <w:kern w:val="24"/>
                              </w:rPr>
                            </w:pPr>
                            <w:r>
                              <w:rPr>
                                <w:rFonts w:ascii="Arial" w:hAnsi="Arial" w:cs="Arial"/>
                                <w:b/>
                                <w:smallCaps/>
                                <w:color w:val="000080"/>
                                <w:kern w:val="24"/>
                              </w:rPr>
                              <w:t>Permessi di costruire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4" o:spid="_x0000_s1027" style="position:absolute;left:0;text-align:left;margin-left:2.45pt;margin-top:8.75pt;width:428.5pt;height:22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" strokecolor="#fabf8f" strokeweight="1pt">
                <v:shadow on="t" color="#974706" opacity=".5" offset="1pt"/>
                <v:textbox>
                  <w:txbxContent>
                    <w:p w:rsidR="00A16BCD" w:rsidRPr="00A04785" w:rsidRDefault="00A16BCD" w:rsidP="004E2A33">
                      <w:pPr>
                        <w:pStyle w:val="NormaleWeb"/>
                        <w:textAlignment w:val="baseline"/>
                        <w:rPr>
                          <w:rFonts w:ascii="Arial" w:hAnsi="Arial" w:cs="Arial"/>
                          <w:b/>
                          <w:smallCaps/>
                          <w:color w:val="000080"/>
                          <w:kern w:val="24"/>
                        </w:rPr>
                      </w:pPr>
                      <w:r>
                        <w:rPr>
                          <w:rFonts w:ascii="Arial" w:hAnsi="Arial" w:cs="Arial"/>
                          <w:b/>
                          <w:smallCaps/>
                          <w:color w:val="000080"/>
                          <w:kern w:val="24"/>
                        </w:rPr>
                        <w:t>Permessi di costruire</w:t>
                      </w:r>
                    </w:p>
                  </w:txbxContent>
                </v:textbox>
              </v:rect>
            </w:pict>
          </mc:Fallback>
        </mc:AlternateContent>
      </w:r>
    </w:p>
    <w:p w:rsidR="004E2A33" w:rsidRDefault="004E2A33" w:rsidP="004E2A33">
      <w:pPr>
        <w:jc w:val="center"/>
      </w:pPr>
    </w:p>
    <w:p w:rsidR="004E2A33" w:rsidRDefault="004E2A33" w:rsidP="004E2A33">
      <w:pPr>
        <w:jc w:val="center"/>
      </w:pPr>
    </w:p>
    <w:p w:rsidR="00162106" w:rsidRDefault="00162106" w:rsidP="004E2A33">
      <w:pPr>
        <w:jc w:val="center"/>
      </w:pPr>
    </w:p>
    <w:p w:rsidR="00162106" w:rsidRDefault="005E4B16" w:rsidP="004E2A33">
      <w:pPr>
        <w:jc w:val="center"/>
      </w:pPr>
      <w:r>
        <w:rPr>
          <w:noProof/>
        </w:rPr>
        <w:drawing>
          <wp:anchor distT="0" distB="0" distL="114300" distR="114300" simplePos="0" relativeHeight="253203456" behindDoc="0" locked="0" layoutInCell="1" allowOverlap="1" wp14:anchorId="4F258691" wp14:editId="6DA83F84">
            <wp:simplePos x="0" y="0"/>
            <wp:positionH relativeFrom="column">
              <wp:posOffset>560705</wp:posOffset>
            </wp:positionH>
            <wp:positionV relativeFrom="paragraph">
              <wp:posOffset>46355</wp:posOffset>
            </wp:positionV>
            <wp:extent cx="4492625" cy="3086100"/>
            <wp:effectExtent l="0" t="0" r="3175" b="0"/>
            <wp:wrapSquare wrapText="bothSides"/>
            <wp:docPr id="705" name="Immagin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2625"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1B2E" w:rsidRDefault="00941B2E" w:rsidP="004E2A33">
      <w:pPr>
        <w:jc w:val="center"/>
      </w:pPr>
    </w:p>
    <w:p w:rsidR="00941B2E" w:rsidRDefault="00941B2E" w:rsidP="004E2A33">
      <w:pPr>
        <w:jc w:val="center"/>
      </w:pPr>
    </w:p>
    <w:p w:rsidR="00941B2E" w:rsidRDefault="00941B2E" w:rsidP="004E2A33">
      <w:pPr>
        <w:jc w:val="center"/>
      </w:pPr>
    </w:p>
    <w:p w:rsidR="00941B2E" w:rsidRDefault="00941B2E" w:rsidP="004E2A33">
      <w:pPr>
        <w:jc w:val="center"/>
      </w:pPr>
    </w:p>
    <w:p w:rsidR="00941B2E" w:rsidRDefault="00941B2E" w:rsidP="004E2A33">
      <w:pPr>
        <w:jc w:val="center"/>
      </w:pPr>
    </w:p>
    <w:p w:rsidR="00941B2E" w:rsidRDefault="00941B2E" w:rsidP="004E2A33">
      <w:pPr>
        <w:jc w:val="center"/>
      </w:pPr>
    </w:p>
    <w:p w:rsidR="004E2A33" w:rsidRDefault="004E2A33" w:rsidP="004E2A33">
      <w:pPr>
        <w:jc w:val="center"/>
      </w:pPr>
    </w:p>
    <w:p w:rsidR="004E2A33" w:rsidRDefault="004E2A33" w:rsidP="004E2A33">
      <w:pPr>
        <w:jc w:val="center"/>
      </w:pPr>
    </w:p>
    <w:p w:rsidR="00941B2E" w:rsidRDefault="00941B2E" w:rsidP="004E2A33">
      <w:pPr>
        <w:jc w:val="center"/>
      </w:pPr>
    </w:p>
    <w:p w:rsidR="00941B2E" w:rsidRDefault="00941B2E" w:rsidP="004E2A33">
      <w:pPr>
        <w:jc w:val="center"/>
      </w:pPr>
    </w:p>
    <w:p w:rsidR="00941B2E" w:rsidRDefault="00941B2E" w:rsidP="004E2A33">
      <w:pPr>
        <w:jc w:val="center"/>
      </w:pPr>
    </w:p>
    <w:p w:rsidR="00941B2E" w:rsidRDefault="00941B2E" w:rsidP="004E2A33">
      <w:pPr>
        <w:jc w:val="center"/>
      </w:pPr>
    </w:p>
    <w:p w:rsidR="00941B2E" w:rsidRDefault="00941B2E" w:rsidP="004E2A33">
      <w:pPr>
        <w:jc w:val="center"/>
      </w:pPr>
    </w:p>
    <w:p w:rsidR="00941B2E" w:rsidRDefault="00941B2E" w:rsidP="004E2A33">
      <w:pPr>
        <w:jc w:val="center"/>
      </w:pPr>
    </w:p>
    <w:p w:rsidR="00941B2E" w:rsidRDefault="00941B2E" w:rsidP="004E2A33">
      <w:pPr>
        <w:jc w:val="center"/>
      </w:pPr>
    </w:p>
    <w:p w:rsidR="00941B2E" w:rsidRDefault="00941B2E" w:rsidP="004E2A33">
      <w:pPr>
        <w:jc w:val="center"/>
      </w:pPr>
    </w:p>
    <w:p w:rsidR="00941B2E" w:rsidRDefault="00941B2E" w:rsidP="004E2A33">
      <w:pPr>
        <w:jc w:val="center"/>
      </w:pPr>
    </w:p>
    <w:p w:rsidR="00941B2E" w:rsidRDefault="00941B2E" w:rsidP="004E2A33">
      <w:pPr>
        <w:jc w:val="center"/>
      </w:pPr>
    </w:p>
    <w:p w:rsidR="00941B2E" w:rsidRDefault="00941B2E" w:rsidP="004E2A33">
      <w:pPr>
        <w:jc w:val="center"/>
      </w:pPr>
    </w:p>
    <w:p w:rsidR="00941B2E" w:rsidRDefault="00941B2E" w:rsidP="004E2A33">
      <w:pPr>
        <w:jc w:val="center"/>
      </w:pPr>
    </w:p>
    <w:p w:rsidR="00941B2E" w:rsidRDefault="00941B2E" w:rsidP="004E2A33">
      <w:pPr>
        <w:jc w:val="center"/>
      </w:pPr>
    </w:p>
    <w:p w:rsidR="00941B2E" w:rsidRDefault="00941B2E" w:rsidP="004E2A33">
      <w:pPr>
        <w:jc w:val="center"/>
      </w:pPr>
    </w:p>
    <w:p w:rsidR="00941B2E" w:rsidRDefault="00941B2E" w:rsidP="004E2A33">
      <w:pPr>
        <w:jc w:val="center"/>
      </w:pPr>
    </w:p>
    <w:p w:rsidR="004E2A33" w:rsidRDefault="004E2A33" w:rsidP="004E2A33">
      <w:pPr>
        <w:jc w:val="center"/>
      </w:pPr>
      <w:r w:rsidRPr="004F07A9">
        <w:rPr>
          <w:noProof/>
        </w:rPr>
        <w:drawing>
          <wp:inline distT="0" distB="0" distL="0" distR="0" wp14:anchorId="6A9998CC" wp14:editId="2187AF0A">
            <wp:extent cx="4288435" cy="318135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87930" cy="3180976"/>
                    </a:xfrm>
                    <a:prstGeom prst="rect">
                      <a:avLst/>
                    </a:prstGeom>
                    <a:noFill/>
                    <a:ln>
                      <a:noFill/>
                    </a:ln>
                  </pic:spPr>
                </pic:pic>
              </a:graphicData>
            </a:graphic>
          </wp:inline>
        </w:drawing>
      </w:r>
    </w:p>
    <w:p w:rsidR="004E2A33" w:rsidRDefault="004E2A33" w:rsidP="004E2A33">
      <w:pPr>
        <w:jc w:val="center"/>
      </w:pPr>
    </w:p>
    <w:p w:rsidR="004E2A33" w:rsidRDefault="004E2A33" w:rsidP="004E2A33">
      <w:pPr>
        <w:jc w:val="center"/>
      </w:pPr>
    </w:p>
    <w:p w:rsidR="004E2A33" w:rsidRDefault="004E2A33" w:rsidP="004E2A33">
      <w:pPr>
        <w:jc w:val="center"/>
      </w:pPr>
    </w:p>
    <w:p w:rsidR="004E2A33" w:rsidRDefault="004E2A33" w:rsidP="004E2A33">
      <w:pPr>
        <w:jc w:val="center"/>
      </w:pPr>
    </w:p>
    <w:p w:rsidR="004E2A33" w:rsidRDefault="004E2A33" w:rsidP="004E2A33">
      <w:pPr>
        <w:jc w:val="center"/>
      </w:pPr>
    </w:p>
    <w:p w:rsidR="008F0CCB" w:rsidRDefault="008F0CCB" w:rsidP="004E2A33">
      <w:pPr>
        <w:jc w:val="center"/>
      </w:pPr>
    </w:p>
    <w:p w:rsidR="004E2A33" w:rsidRDefault="00941B2E" w:rsidP="004E2A33">
      <w:pPr>
        <w:jc w:val="center"/>
      </w:pPr>
      <w:r>
        <w:rPr>
          <w:noProof/>
        </w:rPr>
        <w:drawing>
          <wp:anchor distT="0" distB="0" distL="114300" distR="114300" simplePos="0" relativeHeight="253205504" behindDoc="0" locked="0" layoutInCell="1" allowOverlap="1" wp14:anchorId="6D52DFCE" wp14:editId="1F60E57D">
            <wp:simplePos x="0" y="0"/>
            <wp:positionH relativeFrom="column">
              <wp:posOffset>539115</wp:posOffset>
            </wp:positionH>
            <wp:positionV relativeFrom="paragraph">
              <wp:posOffset>-99060</wp:posOffset>
            </wp:positionV>
            <wp:extent cx="4828540" cy="3173730"/>
            <wp:effectExtent l="0" t="0" r="0" b="0"/>
            <wp:wrapSquare wrapText="bothSides"/>
            <wp:docPr id="706" name="Immagin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28540" cy="3173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2A33" w:rsidRDefault="004E2A33" w:rsidP="004E2A33">
      <w:pPr>
        <w:rPr>
          <w:lang w:eastAsia="en-US"/>
        </w:rPr>
      </w:pPr>
    </w:p>
    <w:p w:rsidR="00941B2E" w:rsidRDefault="00941B2E" w:rsidP="004E2A33">
      <w:pPr>
        <w:rPr>
          <w:lang w:eastAsia="en-US"/>
        </w:rPr>
      </w:pPr>
    </w:p>
    <w:p w:rsidR="00941B2E" w:rsidRDefault="00941B2E" w:rsidP="004E2A33">
      <w:pPr>
        <w:rPr>
          <w:lang w:eastAsia="en-US"/>
        </w:rPr>
      </w:pPr>
    </w:p>
    <w:p w:rsidR="00941B2E" w:rsidRDefault="00941B2E" w:rsidP="004E2A33">
      <w:pPr>
        <w:rPr>
          <w:lang w:eastAsia="en-US"/>
        </w:rPr>
      </w:pPr>
    </w:p>
    <w:p w:rsidR="00941B2E" w:rsidRDefault="00941B2E" w:rsidP="004E2A33">
      <w:pPr>
        <w:rPr>
          <w:lang w:eastAsia="en-US"/>
        </w:rPr>
      </w:pPr>
    </w:p>
    <w:p w:rsidR="00941B2E" w:rsidRDefault="00941B2E" w:rsidP="004E2A33">
      <w:pPr>
        <w:rPr>
          <w:lang w:eastAsia="en-US"/>
        </w:rPr>
      </w:pPr>
    </w:p>
    <w:p w:rsidR="00941B2E" w:rsidRDefault="00941B2E" w:rsidP="004E2A33">
      <w:pPr>
        <w:rPr>
          <w:lang w:eastAsia="en-US"/>
        </w:rPr>
      </w:pPr>
    </w:p>
    <w:p w:rsidR="00941B2E" w:rsidRDefault="00941B2E" w:rsidP="004E2A33">
      <w:pPr>
        <w:rPr>
          <w:lang w:eastAsia="en-US"/>
        </w:rPr>
      </w:pPr>
    </w:p>
    <w:p w:rsidR="00941B2E" w:rsidRDefault="00941B2E" w:rsidP="004E2A33">
      <w:pPr>
        <w:rPr>
          <w:lang w:eastAsia="en-US"/>
        </w:rPr>
      </w:pPr>
    </w:p>
    <w:p w:rsidR="00941B2E" w:rsidRDefault="00941B2E" w:rsidP="004E2A33">
      <w:pPr>
        <w:rPr>
          <w:lang w:eastAsia="en-US"/>
        </w:rPr>
      </w:pPr>
    </w:p>
    <w:p w:rsidR="00941B2E" w:rsidRDefault="00941B2E" w:rsidP="004E2A33">
      <w:pPr>
        <w:rPr>
          <w:lang w:eastAsia="en-US"/>
        </w:rPr>
      </w:pPr>
    </w:p>
    <w:p w:rsidR="00941B2E" w:rsidRDefault="00941B2E" w:rsidP="004E2A33">
      <w:pPr>
        <w:rPr>
          <w:lang w:eastAsia="en-US"/>
        </w:rPr>
      </w:pPr>
    </w:p>
    <w:p w:rsidR="00941B2E" w:rsidRDefault="00941B2E" w:rsidP="004E2A33">
      <w:pPr>
        <w:rPr>
          <w:lang w:eastAsia="en-US"/>
        </w:rPr>
      </w:pPr>
    </w:p>
    <w:p w:rsidR="00941B2E" w:rsidRDefault="00941B2E" w:rsidP="004E2A33">
      <w:pPr>
        <w:rPr>
          <w:lang w:eastAsia="en-US"/>
        </w:rPr>
      </w:pPr>
    </w:p>
    <w:p w:rsidR="00941B2E" w:rsidRDefault="00941B2E" w:rsidP="004E2A33">
      <w:pPr>
        <w:rPr>
          <w:lang w:eastAsia="en-US"/>
        </w:rPr>
      </w:pPr>
    </w:p>
    <w:p w:rsidR="00941B2E" w:rsidRDefault="00941B2E" w:rsidP="004E2A33">
      <w:pPr>
        <w:rPr>
          <w:lang w:eastAsia="en-US"/>
        </w:rPr>
      </w:pPr>
    </w:p>
    <w:p w:rsidR="00941B2E" w:rsidRDefault="00941B2E" w:rsidP="004E2A33">
      <w:pPr>
        <w:rPr>
          <w:lang w:eastAsia="en-US"/>
        </w:rPr>
      </w:pPr>
    </w:p>
    <w:p w:rsidR="00941B2E" w:rsidRDefault="00941B2E" w:rsidP="004E2A33">
      <w:pPr>
        <w:rPr>
          <w:lang w:eastAsia="en-US"/>
        </w:rPr>
      </w:pPr>
    </w:p>
    <w:p w:rsidR="00941B2E" w:rsidRDefault="00941B2E" w:rsidP="004E2A33">
      <w:pPr>
        <w:rPr>
          <w:lang w:eastAsia="en-US"/>
        </w:rPr>
      </w:pPr>
    </w:p>
    <w:p w:rsidR="00941B2E" w:rsidRPr="004E2A33" w:rsidRDefault="00941B2E" w:rsidP="004E2A33">
      <w:pPr>
        <w:rPr>
          <w:lang w:eastAsia="en-US"/>
        </w:rPr>
      </w:pPr>
    </w:p>
    <w:p w:rsidR="002B4BE9" w:rsidRDefault="002B4BE9" w:rsidP="00916B49"/>
    <w:p w:rsidR="00941B2E" w:rsidRDefault="00941B2E" w:rsidP="00916B49"/>
    <w:p w:rsidR="00941B2E" w:rsidRDefault="00941B2E" w:rsidP="00916B49">
      <w:r>
        <w:rPr>
          <w:noProof/>
        </w:rPr>
        <mc:AlternateContent>
          <mc:Choice Requires="wps">
            <w:drawing>
              <wp:anchor distT="0" distB="0" distL="114300" distR="114300" simplePos="0" relativeHeight="253132800" behindDoc="0" locked="0" layoutInCell="1" allowOverlap="1" wp14:anchorId="6350A56E" wp14:editId="27E74F92">
                <wp:simplePos x="0" y="0"/>
                <wp:positionH relativeFrom="column">
                  <wp:posOffset>-6985</wp:posOffset>
                </wp:positionH>
                <wp:positionV relativeFrom="paragraph">
                  <wp:posOffset>3175</wp:posOffset>
                </wp:positionV>
                <wp:extent cx="5441950" cy="279400"/>
                <wp:effectExtent l="38100" t="19050" r="82550" b="101600"/>
                <wp:wrapNone/>
                <wp:docPr id="2" name="Rettango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1950" cy="279400"/>
                        </a:xfrm>
                        <a:prstGeom prst="rect">
                          <a:avLst/>
                        </a:prstGeom>
                        <a:solidFill>
                          <a:srgbClr val="FFFFFF"/>
                        </a:solidFill>
                        <a:ln w="12700" algn="ctr">
                          <a:solidFill>
                            <a:srgbClr val="FABF8F"/>
                          </a:solidFill>
                          <a:miter lim="800000"/>
                          <a:headEnd/>
                          <a:tailEnd/>
                        </a:ln>
                        <a:effectLst>
                          <a:outerShdw blurRad="40000" dist="28398" dir="3806097" algn="ctr" rotWithShape="0">
                            <a:srgbClr val="974706">
                              <a:alpha val="50000"/>
                            </a:srgbClr>
                          </a:outerShdw>
                        </a:effectLst>
                      </wps:spPr>
                      <wps:txbx>
                        <w:txbxContent>
                          <w:p w:rsidR="00A16BCD" w:rsidRPr="00916B49" w:rsidRDefault="00A16BCD" w:rsidP="002B4BE9">
                            <w:pPr>
                              <w:pStyle w:val="NormaleWeb"/>
                              <w:textAlignment w:val="baseline"/>
                              <w:rPr>
                                <w:rFonts w:ascii="Arial" w:hAnsi="Arial" w:cs="Arial"/>
                                <w:b/>
                                <w:smallCaps/>
                                <w:color w:val="000080"/>
                                <w:kern w:val="24"/>
                              </w:rPr>
                            </w:pPr>
                            <w:r>
                              <w:rPr>
                                <w:rFonts w:ascii="Arial" w:hAnsi="Arial" w:cs="Arial"/>
                                <w:b/>
                                <w:smallCaps/>
                                <w:color w:val="000080"/>
                                <w:kern w:val="24"/>
                              </w:rPr>
                              <w:t>Occupazione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2" o:spid="_x0000_s1028" style="position:absolute;margin-left:-.55pt;margin-top:.25pt;width:428.5pt;height:22pt;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" strokecolor="#fabf8f" strokeweight="1pt">
                <v:shadow on="t" color="#974706" opacity=".5" offset="1pt"/>
                <v:textbox>
                  <w:txbxContent>
                    <w:p w:rsidR="00A16BCD" w:rsidRPr="00916B49" w:rsidRDefault="00A16BCD" w:rsidP="002B4BE9">
                      <w:pPr>
                        <w:pStyle w:val="NormaleWeb"/>
                        <w:textAlignment w:val="baseline"/>
                        <w:rPr>
                          <w:rFonts w:ascii="Arial" w:hAnsi="Arial" w:cs="Arial"/>
                          <w:b/>
                          <w:smallCaps/>
                          <w:color w:val="000080"/>
                          <w:kern w:val="24"/>
                        </w:rPr>
                      </w:pPr>
                      <w:r>
                        <w:rPr>
                          <w:rFonts w:ascii="Arial" w:hAnsi="Arial" w:cs="Arial"/>
                          <w:b/>
                          <w:smallCaps/>
                          <w:color w:val="000080"/>
                          <w:kern w:val="24"/>
                        </w:rPr>
                        <w:t>Occupazione</w:t>
                      </w:r>
                    </w:p>
                  </w:txbxContent>
                </v:textbox>
              </v:rect>
            </w:pict>
          </mc:Fallback>
        </mc:AlternateContent>
      </w:r>
    </w:p>
    <w:p w:rsidR="00941B2E" w:rsidRDefault="00941B2E" w:rsidP="00916B49"/>
    <w:p w:rsidR="002B4BE9" w:rsidRDefault="005E4B16" w:rsidP="00916B49">
      <w:r>
        <w:rPr>
          <w:rFonts w:ascii="Arial" w:hAnsi="Arial" w:cs="Arial"/>
          <w:noProof/>
        </w:rPr>
        <w:drawing>
          <wp:anchor distT="0" distB="0" distL="114300" distR="114300" simplePos="0" relativeHeight="253207552" behindDoc="0" locked="0" layoutInCell="1" allowOverlap="1" wp14:anchorId="6FE44903" wp14:editId="23D1E20A">
            <wp:simplePos x="0" y="0"/>
            <wp:positionH relativeFrom="column">
              <wp:posOffset>1072515</wp:posOffset>
            </wp:positionH>
            <wp:positionV relativeFrom="paragraph">
              <wp:posOffset>135890</wp:posOffset>
            </wp:positionV>
            <wp:extent cx="3300730" cy="2352675"/>
            <wp:effectExtent l="0" t="0" r="0" b="0"/>
            <wp:wrapSquare wrapText="bothSides"/>
            <wp:docPr id="707" name="Immagin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0730"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1B2E" w:rsidRDefault="00941B2E" w:rsidP="002B4BE9">
      <w:pPr>
        <w:jc w:val="center"/>
      </w:pPr>
    </w:p>
    <w:p w:rsidR="00941B2E" w:rsidRDefault="00941B2E" w:rsidP="002B4BE9">
      <w:pPr>
        <w:jc w:val="center"/>
      </w:pPr>
    </w:p>
    <w:p w:rsidR="00941B2E" w:rsidRDefault="00941B2E" w:rsidP="002B4BE9">
      <w:pPr>
        <w:jc w:val="center"/>
      </w:pPr>
    </w:p>
    <w:p w:rsidR="00941B2E" w:rsidRDefault="00941B2E" w:rsidP="002B4BE9">
      <w:pPr>
        <w:jc w:val="center"/>
      </w:pPr>
    </w:p>
    <w:p w:rsidR="002B4BE9" w:rsidRDefault="002B4BE9" w:rsidP="00916B49"/>
    <w:p w:rsidR="00941B2E" w:rsidRDefault="00941B2E" w:rsidP="00916B49"/>
    <w:p w:rsidR="00941B2E" w:rsidRDefault="00941B2E" w:rsidP="00916B49"/>
    <w:p w:rsidR="00941B2E" w:rsidRDefault="00941B2E" w:rsidP="00916B49"/>
    <w:p w:rsidR="00941B2E" w:rsidRDefault="00941B2E" w:rsidP="00916B49"/>
    <w:p w:rsidR="00941B2E" w:rsidRDefault="00941B2E" w:rsidP="00916B49"/>
    <w:p w:rsidR="00941B2E" w:rsidRDefault="00941B2E" w:rsidP="00916B49"/>
    <w:p w:rsidR="00941B2E" w:rsidRDefault="00941B2E" w:rsidP="00916B49"/>
    <w:p w:rsidR="00941B2E" w:rsidRDefault="00941B2E" w:rsidP="00916B49"/>
    <w:p w:rsidR="00941B2E" w:rsidRDefault="00941B2E" w:rsidP="00916B49"/>
    <w:p w:rsidR="002B4BE9" w:rsidRDefault="002B4BE9" w:rsidP="00916B49"/>
    <w:p w:rsidR="005E4B16" w:rsidRDefault="005E4B16" w:rsidP="005E4B16">
      <w:pPr>
        <w:jc w:val="center"/>
      </w:pPr>
    </w:p>
    <w:p w:rsidR="005E4B16" w:rsidRDefault="005E4B16" w:rsidP="005E4B16">
      <w:pPr>
        <w:jc w:val="center"/>
      </w:pPr>
    </w:p>
    <w:p w:rsidR="005E4B16" w:rsidRDefault="005E4B16" w:rsidP="005E4B16">
      <w:pPr>
        <w:jc w:val="center"/>
      </w:pPr>
    </w:p>
    <w:p w:rsidR="002B4BE9" w:rsidRDefault="008725F6" w:rsidP="005E4B16">
      <w:pPr>
        <w:jc w:val="center"/>
      </w:pPr>
      <w:r w:rsidRPr="008725F6">
        <w:rPr>
          <w:noProof/>
        </w:rPr>
        <w:drawing>
          <wp:inline distT="0" distB="0" distL="0" distR="0" wp14:anchorId="45D96D7A" wp14:editId="4149C4FA">
            <wp:extent cx="3143250" cy="2079584"/>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49926" cy="2084001"/>
                    </a:xfrm>
                    <a:prstGeom prst="rect">
                      <a:avLst/>
                    </a:prstGeom>
                    <a:noFill/>
                    <a:ln>
                      <a:noFill/>
                    </a:ln>
                  </pic:spPr>
                </pic:pic>
              </a:graphicData>
            </a:graphic>
          </wp:inline>
        </w:drawing>
      </w:r>
    </w:p>
    <w:p w:rsidR="002B4BE9" w:rsidRDefault="00941B2E" w:rsidP="005E4B16">
      <w:pPr>
        <w:jc w:val="center"/>
      </w:pPr>
      <w:r w:rsidRPr="00941B2E">
        <w:rPr>
          <w:noProof/>
        </w:rPr>
        <w:drawing>
          <wp:inline distT="0" distB="0" distL="0" distR="0" wp14:anchorId="461674A0" wp14:editId="6684F4BD">
            <wp:extent cx="4349063" cy="3114675"/>
            <wp:effectExtent l="0" t="0" r="0" b="0"/>
            <wp:docPr id="708" name="Immagin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49294" cy="3114840"/>
                    </a:xfrm>
                    <a:prstGeom prst="rect">
                      <a:avLst/>
                    </a:prstGeom>
                    <a:noFill/>
                    <a:ln>
                      <a:noFill/>
                    </a:ln>
                  </pic:spPr>
                </pic:pic>
              </a:graphicData>
            </a:graphic>
          </wp:inline>
        </w:drawing>
      </w:r>
    </w:p>
    <w:p w:rsidR="002B4BE9" w:rsidRDefault="002B4BE9" w:rsidP="00916B49"/>
    <w:p w:rsidR="008725F6" w:rsidRDefault="00941B2E" w:rsidP="00916B49">
      <w:r w:rsidRPr="00941B2E">
        <w:rPr>
          <w:noProof/>
        </w:rPr>
        <w:drawing>
          <wp:inline distT="0" distB="0" distL="0" distR="0" wp14:anchorId="15ADF5F7" wp14:editId="4DC1CF82">
            <wp:extent cx="5400040" cy="2688099"/>
            <wp:effectExtent l="0" t="0" r="0" b="0"/>
            <wp:docPr id="709" name="Immagin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040" cy="2688099"/>
                    </a:xfrm>
                    <a:prstGeom prst="rect">
                      <a:avLst/>
                    </a:prstGeom>
                    <a:noFill/>
                    <a:ln>
                      <a:noFill/>
                    </a:ln>
                  </pic:spPr>
                </pic:pic>
              </a:graphicData>
            </a:graphic>
          </wp:inline>
        </w:drawing>
      </w:r>
    </w:p>
    <w:p w:rsidR="00941B2E" w:rsidRDefault="00941B2E" w:rsidP="00916B49"/>
    <w:p w:rsidR="00941B2E" w:rsidRDefault="00941B2E" w:rsidP="005E4B16">
      <w:pPr>
        <w:jc w:val="center"/>
      </w:pPr>
      <w:r w:rsidRPr="00941B2E">
        <w:rPr>
          <w:noProof/>
        </w:rPr>
        <w:drawing>
          <wp:inline distT="0" distB="0" distL="0" distR="0" wp14:anchorId="1F4292B5" wp14:editId="5802F37B">
            <wp:extent cx="3305175" cy="2205545"/>
            <wp:effectExtent l="0" t="0" r="0" b="0"/>
            <wp:docPr id="710" name="Immagin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05175" cy="2205545"/>
                    </a:xfrm>
                    <a:prstGeom prst="rect">
                      <a:avLst/>
                    </a:prstGeom>
                    <a:noFill/>
                    <a:ln>
                      <a:noFill/>
                    </a:ln>
                  </pic:spPr>
                </pic:pic>
              </a:graphicData>
            </a:graphic>
          </wp:inline>
        </w:drawing>
      </w:r>
    </w:p>
    <w:p w:rsidR="00162106" w:rsidRDefault="00162106" w:rsidP="00916B49"/>
    <w:p w:rsidR="00162106" w:rsidRDefault="005E4B16" w:rsidP="00916B49">
      <w:r>
        <w:rPr>
          <w:noProof/>
        </w:rPr>
        <mc:AlternateContent>
          <mc:Choice Requires="wps">
            <w:drawing>
              <wp:anchor distT="0" distB="0" distL="114300" distR="114300" simplePos="0" relativeHeight="253111296" behindDoc="0" locked="0" layoutInCell="1" allowOverlap="1" wp14:anchorId="0443ABB3" wp14:editId="331EA8BA">
                <wp:simplePos x="0" y="0"/>
                <wp:positionH relativeFrom="column">
                  <wp:posOffset>-6985</wp:posOffset>
                </wp:positionH>
                <wp:positionV relativeFrom="paragraph">
                  <wp:posOffset>38100</wp:posOffset>
                </wp:positionV>
                <wp:extent cx="5441950" cy="279400"/>
                <wp:effectExtent l="38100" t="19050" r="82550" b="101600"/>
                <wp:wrapNone/>
                <wp:docPr id="30" name="Rettango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1950" cy="279400"/>
                        </a:xfrm>
                        <a:prstGeom prst="rect">
                          <a:avLst/>
                        </a:prstGeom>
                        <a:solidFill>
                          <a:srgbClr val="FFFFFF"/>
                        </a:solidFill>
                        <a:ln w="12700" algn="ctr">
                          <a:solidFill>
                            <a:srgbClr val="FABF8F"/>
                          </a:solidFill>
                          <a:miter lim="800000"/>
                          <a:headEnd/>
                          <a:tailEnd/>
                        </a:ln>
                        <a:effectLst>
                          <a:outerShdw blurRad="40000" dist="28398" dir="3806097" algn="ctr" rotWithShape="0">
                            <a:srgbClr val="974706">
                              <a:alpha val="50000"/>
                            </a:srgbClr>
                          </a:outerShdw>
                        </a:effectLst>
                      </wps:spPr>
                      <wps:txbx>
                        <w:txbxContent>
                          <w:p w:rsidR="00A16BCD" w:rsidRPr="00916B49" w:rsidRDefault="00A16BCD" w:rsidP="00916B49">
                            <w:pPr>
                              <w:pStyle w:val="NormaleWeb"/>
                              <w:textAlignment w:val="baseline"/>
                              <w:rPr>
                                <w:rFonts w:ascii="Arial" w:hAnsi="Arial" w:cs="Arial"/>
                                <w:b/>
                                <w:smallCaps/>
                                <w:color w:val="000080"/>
                                <w:kern w:val="24"/>
                              </w:rPr>
                            </w:pPr>
                            <w:r w:rsidRPr="00916B49">
                              <w:rPr>
                                <w:rFonts w:ascii="Arial" w:hAnsi="Arial" w:cs="Arial"/>
                                <w:b/>
                                <w:smallCaps/>
                                <w:color w:val="000080"/>
                                <w:kern w:val="24"/>
                              </w:rPr>
                              <w:t>C</w:t>
                            </w:r>
                            <w:r>
                              <w:rPr>
                                <w:rFonts w:ascii="Arial" w:hAnsi="Arial" w:cs="Arial"/>
                                <w:b/>
                                <w:smallCaps/>
                                <w:color w:val="000080"/>
                                <w:kern w:val="24"/>
                              </w:rPr>
                              <w:t>ompravendite re</w:t>
                            </w:r>
                            <w:r w:rsidRPr="00916B49">
                              <w:rPr>
                                <w:rFonts w:ascii="Arial" w:hAnsi="Arial" w:cs="Arial"/>
                                <w:b/>
                                <w:smallCaps/>
                                <w:color w:val="000080"/>
                                <w:kern w:val="24"/>
                              </w:rPr>
                              <w:t>sidenziali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30" o:spid="_x0000_s1029" style="position:absolute;margin-left:-.55pt;margin-top:3pt;width:428.5pt;height:22pt;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" strokecolor="#fabf8f" strokeweight="1pt">
                <v:shadow on="t" color="#974706" opacity=".5" offset="1pt"/>
                <v:textbox>
                  <w:txbxContent>
                    <w:p w:rsidR="00A16BCD" w:rsidRPr="00916B49" w:rsidRDefault="00A16BCD" w:rsidP="00916B49">
                      <w:pPr>
                        <w:pStyle w:val="NormaleWeb"/>
                        <w:textAlignment w:val="baseline"/>
                        <w:rPr>
                          <w:rFonts w:ascii="Arial" w:hAnsi="Arial" w:cs="Arial"/>
                          <w:b/>
                          <w:smallCaps/>
                          <w:color w:val="000080"/>
                          <w:kern w:val="24"/>
                        </w:rPr>
                      </w:pPr>
                      <w:r w:rsidRPr="00916B49">
                        <w:rPr>
                          <w:rFonts w:ascii="Arial" w:hAnsi="Arial" w:cs="Arial"/>
                          <w:b/>
                          <w:smallCaps/>
                          <w:color w:val="000080"/>
                          <w:kern w:val="24"/>
                        </w:rPr>
                        <w:t>C</w:t>
                      </w:r>
                      <w:r>
                        <w:rPr>
                          <w:rFonts w:ascii="Arial" w:hAnsi="Arial" w:cs="Arial"/>
                          <w:b/>
                          <w:smallCaps/>
                          <w:color w:val="000080"/>
                          <w:kern w:val="24"/>
                        </w:rPr>
                        <w:t>ompravendite re</w:t>
                      </w:r>
                      <w:r w:rsidRPr="00916B49">
                        <w:rPr>
                          <w:rFonts w:ascii="Arial" w:hAnsi="Arial" w:cs="Arial"/>
                          <w:b/>
                          <w:smallCaps/>
                          <w:color w:val="000080"/>
                          <w:kern w:val="24"/>
                        </w:rPr>
                        <w:t>sidenziali</w:t>
                      </w:r>
                    </w:p>
                  </w:txbxContent>
                </v:textbox>
              </v:rect>
            </w:pict>
          </mc:Fallback>
        </mc:AlternateContent>
      </w:r>
    </w:p>
    <w:p w:rsidR="008725F6" w:rsidRDefault="008725F6" w:rsidP="00916B49"/>
    <w:p w:rsidR="008725F6" w:rsidRDefault="008725F6" w:rsidP="00916B49"/>
    <w:p w:rsidR="00916B49" w:rsidRDefault="00916B49" w:rsidP="00916B49"/>
    <w:bookmarkEnd w:id="0"/>
    <w:bookmarkEnd w:id="1"/>
    <w:bookmarkEnd w:id="2"/>
    <w:bookmarkEnd w:id="18"/>
    <w:bookmarkEnd w:id="19"/>
    <w:p w:rsidR="004C625B" w:rsidRDefault="00DA7B62" w:rsidP="008F0CCB">
      <w:pPr>
        <w:ind w:left="-426"/>
        <w:jc w:val="center"/>
      </w:pPr>
      <w:r w:rsidRPr="00DA7B62">
        <w:rPr>
          <w:noProof/>
        </w:rPr>
        <w:drawing>
          <wp:inline distT="0" distB="0" distL="0" distR="0" wp14:anchorId="67731076" wp14:editId="444B6B53">
            <wp:extent cx="5400040" cy="1749675"/>
            <wp:effectExtent l="0" t="0" r="0" b="3175"/>
            <wp:docPr id="711" name="Immagin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040" cy="1749675"/>
                    </a:xfrm>
                    <a:prstGeom prst="rect">
                      <a:avLst/>
                    </a:prstGeom>
                    <a:noFill/>
                    <a:ln>
                      <a:noFill/>
                    </a:ln>
                  </pic:spPr>
                </pic:pic>
              </a:graphicData>
            </a:graphic>
          </wp:inline>
        </w:drawing>
      </w:r>
    </w:p>
    <w:p w:rsidR="00DA7B62" w:rsidRDefault="00DA7B62" w:rsidP="008F0CCB">
      <w:pPr>
        <w:ind w:left="-426"/>
        <w:jc w:val="center"/>
      </w:pPr>
    </w:p>
    <w:p w:rsidR="00DA7B62" w:rsidRDefault="00DA7B62" w:rsidP="008F0CCB">
      <w:pPr>
        <w:ind w:left="-426"/>
        <w:jc w:val="center"/>
      </w:pPr>
      <w:r w:rsidRPr="00DA7B62">
        <w:rPr>
          <w:noProof/>
        </w:rPr>
        <w:drawing>
          <wp:inline distT="0" distB="0" distL="0" distR="0" wp14:anchorId="1C613941" wp14:editId="58DE2DE1">
            <wp:extent cx="5400040" cy="1917072"/>
            <wp:effectExtent l="0" t="0" r="0" b="6985"/>
            <wp:docPr id="712" name="Immagin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040" cy="1917072"/>
                    </a:xfrm>
                    <a:prstGeom prst="rect">
                      <a:avLst/>
                    </a:prstGeom>
                    <a:noFill/>
                    <a:ln>
                      <a:noFill/>
                    </a:ln>
                  </pic:spPr>
                </pic:pic>
              </a:graphicData>
            </a:graphic>
          </wp:inline>
        </w:drawing>
      </w:r>
    </w:p>
    <w:p w:rsidR="00DA7B62" w:rsidRDefault="00DA7B62" w:rsidP="008F0CCB">
      <w:pPr>
        <w:ind w:left="-426"/>
        <w:jc w:val="center"/>
      </w:pPr>
    </w:p>
    <w:p w:rsidR="00DA7B62" w:rsidRDefault="00DA7B62" w:rsidP="008F0CCB">
      <w:pPr>
        <w:ind w:left="-426"/>
        <w:jc w:val="center"/>
      </w:pPr>
      <w:r w:rsidRPr="00DA7B62">
        <w:rPr>
          <w:noProof/>
        </w:rPr>
        <w:drawing>
          <wp:inline distT="0" distB="0" distL="0" distR="0" wp14:anchorId="5E930493" wp14:editId="49237490">
            <wp:extent cx="5400040" cy="1919362"/>
            <wp:effectExtent l="0" t="0" r="0" b="5080"/>
            <wp:docPr id="713" name="Immagin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40" cy="1919362"/>
                    </a:xfrm>
                    <a:prstGeom prst="rect">
                      <a:avLst/>
                    </a:prstGeom>
                    <a:noFill/>
                    <a:ln>
                      <a:noFill/>
                    </a:ln>
                  </pic:spPr>
                </pic:pic>
              </a:graphicData>
            </a:graphic>
          </wp:inline>
        </w:drawing>
      </w:r>
    </w:p>
    <w:p w:rsidR="00DA7B62" w:rsidRDefault="00DA7B62" w:rsidP="008F0CCB">
      <w:pPr>
        <w:ind w:left="-426"/>
        <w:jc w:val="center"/>
      </w:pPr>
    </w:p>
    <w:p w:rsidR="00DA7B62" w:rsidRDefault="00DA7B62" w:rsidP="008F0CCB">
      <w:pPr>
        <w:ind w:left="-426"/>
        <w:jc w:val="center"/>
      </w:pPr>
      <w:r w:rsidRPr="00DA7B62">
        <w:rPr>
          <w:noProof/>
        </w:rPr>
        <w:drawing>
          <wp:inline distT="0" distB="0" distL="0" distR="0" wp14:anchorId="703B8722" wp14:editId="36BC26DA">
            <wp:extent cx="5400040" cy="1894649"/>
            <wp:effectExtent l="0" t="0" r="0" b="0"/>
            <wp:docPr id="714" name="Immagin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0040" cy="1894649"/>
                    </a:xfrm>
                    <a:prstGeom prst="rect">
                      <a:avLst/>
                    </a:prstGeom>
                    <a:noFill/>
                    <a:ln>
                      <a:noFill/>
                    </a:ln>
                  </pic:spPr>
                </pic:pic>
              </a:graphicData>
            </a:graphic>
          </wp:inline>
        </w:drawing>
      </w:r>
    </w:p>
    <w:p w:rsidR="00DA7B62" w:rsidRDefault="00DA7B62" w:rsidP="008F0CCB">
      <w:pPr>
        <w:ind w:left="-426"/>
        <w:jc w:val="center"/>
      </w:pPr>
    </w:p>
    <w:p w:rsidR="00DA7B62" w:rsidRDefault="00DA7B62" w:rsidP="008F0CCB">
      <w:pPr>
        <w:ind w:left="-426"/>
        <w:jc w:val="center"/>
      </w:pPr>
      <w:r w:rsidRPr="00DA7B62">
        <w:rPr>
          <w:noProof/>
        </w:rPr>
        <w:drawing>
          <wp:inline distT="0" distB="0" distL="0" distR="0" wp14:anchorId="6B2B4AA4" wp14:editId="76DB606C">
            <wp:extent cx="5400040" cy="1931962"/>
            <wp:effectExtent l="0" t="0" r="0" b="0"/>
            <wp:docPr id="715" name="Immagin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040" cy="1931962"/>
                    </a:xfrm>
                    <a:prstGeom prst="rect">
                      <a:avLst/>
                    </a:prstGeom>
                    <a:noFill/>
                    <a:ln>
                      <a:noFill/>
                    </a:ln>
                  </pic:spPr>
                </pic:pic>
              </a:graphicData>
            </a:graphic>
          </wp:inline>
        </w:drawing>
      </w:r>
    </w:p>
    <w:p w:rsidR="00DA7B62" w:rsidRDefault="00DA7B62" w:rsidP="008F0CCB">
      <w:pPr>
        <w:ind w:left="-426"/>
        <w:jc w:val="center"/>
      </w:pPr>
    </w:p>
    <w:p w:rsidR="00DA7B62" w:rsidRDefault="00DA7B62" w:rsidP="008F0CCB">
      <w:pPr>
        <w:ind w:left="-426"/>
        <w:jc w:val="center"/>
      </w:pPr>
      <w:r w:rsidRPr="00DA7B62">
        <w:rPr>
          <w:noProof/>
        </w:rPr>
        <w:drawing>
          <wp:inline distT="0" distB="0" distL="0" distR="0" wp14:anchorId="590F1056" wp14:editId="31F28BE2">
            <wp:extent cx="5400040" cy="1949021"/>
            <wp:effectExtent l="0" t="0" r="0" b="0"/>
            <wp:docPr id="716" name="Immagin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0040" cy="1949021"/>
                    </a:xfrm>
                    <a:prstGeom prst="rect">
                      <a:avLst/>
                    </a:prstGeom>
                    <a:noFill/>
                    <a:ln>
                      <a:noFill/>
                    </a:ln>
                  </pic:spPr>
                </pic:pic>
              </a:graphicData>
            </a:graphic>
          </wp:inline>
        </w:drawing>
      </w:r>
    </w:p>
    <w:p w:rsidR="00DA7B62" w:rsidRDefault="00DA7B62" w:rsidP="008F0CCB">
      <w:pPr>
        <w:ind w:left="-426"/>
        <w:jc w:val="center"/>
      </w:pPr>
    </w:p>
    <w:p w:rsidR="00DA7B62" w:rsidRDefault="00DA7B62" w:rsidP="008F0CCB">
      <w:pPr>
        <w:ind w:left="-426"/>
        <w:jc w:val="center"/>
      </w:pPr>
      <w:r w:rsidRPr="00DA7B62">
        <w:rPr>
          <w:noProof/>
        </w:rPr>
        <w:drawing>
          <wp:inline distT="0" distB="0" distL="0" distR="0" wp14:anchorId="40ED325F" wp14:editId="66B2351C">
            <wp:extent cx="5400040" cy="1906926"/>
            <wp:effectExtent l="0" t="0" r="0" b="0"/>
            <wp:docPr id="717" name="Immagin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0040" cy="1906926"/>
                    </a:xfrm>
                    <a:prstGeom prst="rect">
                      <a:avLst/>
                    </a:prstGeom>
                    <a:noFill/>
                    <a:ln>
                      <a:noFill/>
                    </a:ln>
                  </pic:spPr>
                </pic:pic>
              </a:graphicData>
            </a:graphic>
          </wp:inline>
        </w:drawing>
      </w:r>
    </w:p>
    <w:p w:rsidR="00DA7B62" w:rsidRDefault="00DA7B62" w:rsidP="008F0CCB">
      <w:pPr>
        <w:ind w:left="-426"/>
        <w:jc w:val="center"/>
      </w:pPr>
    </w:p>
    <w:p w:rsidR="00DA7B62" w:rsidRDefault="00DA7B62" w:rsidP="008F0CCB">
      <w:pPr>
        <w:ind w:left="-426"/>
        <w:jc w:val="center"/>
      </w:pPr>
      <w:r w:rsidRPr="00DA7B62">
        <w:rPr>
          <w:noProof/>
        </w:rPr>
        <w:drawing>
          <wp:inline distT="0" distB="0" distL="0" distR="0" wp14:anchorId="5DAC61C4" wp14:editId="392F79F0">
            <wp:extent cx="5400040" cy="1915199"/>
            <wp:effectExtent l="0" t="0" r="0" b="8890"/>
            <wp:docPr id="718" name="Immagin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0040" cy="1915199"/>
                    </a:xfrm>
                    <a:prstGeom prst="rect">
                      <a:avLst/>
                    </a:prstGeom>
                    <a:noFill/>
                    <a:ln>
                      <a:noFill/>
                    </a:ln>
                  </pic:spPr>
                </pic:pic>
              </a:graphicData>
            </a:graphic>
          </wp:inline>
        </w:drawing>
      </w:r>
    </w:p>
    <w:p w:rsidR="00DA7B62" w:rsidRDefault="00DA7B62" w:rsidP="008F0CCB">
      <w:pPr>
        <w:ind w:left="-426"/>
        <w:jc w:val="center"/>
      </w:pPr>
    </w:p>
    <w:p w:rsidR="00DA7B62" w:rsidRDefault="00DA7B62" w:rsidP="008F0CCB">
      <w:pPr>
        <w:ind w:left="-426"/>
        <w:jc w:val="center"/>
      </w:pPr>
      <w:r w:rsidRPr="00DA7B62">
        <w:rPr>
          <w:noProof/>
        </w:rPr>
        <w:drawing>
          <wp:inline distT="0" distB="0" distL="0" distR="0" wp14:anchorId="6D65CEF1" wp14:editId="75C0DCD2">
            <wp:extent cx="5400040" cy="1925641"/>
            <wp:effectExtent l="0" t="0" r="0" b="0"/>
            <wp:docPr id="719" name="Immagin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0040" cy="1925641"/>
                    </a:xfrm>
                    <a:prstGeom prst="rect">
                      <a:avLst/>
                    </a:prstGeom>
                    <a:noFill/>
                    <a:ln>
                      <a:noFill/>
                    </a:ln>
                  </pic:spPr>
                </pic:pic>
              </a:graphicData>
            </a:graphic>
          </wp:inline>
        </w:drawing>
      </w:r>
    </w:p>
    <w:p w:rsidR="004C625B" w:rsidRDefault="004C625B" w:rsidP="00A04785">
      <w:pPr>
        <w:jc w:val="center"/>
      </w:pPr>
    </w:p>
    <w:p w:rsidR="004C625B" w:rsidRDefault="004C625B" w:rsidP="00A04785">
      <w:pPr>
        <w:jc w:val="center"/>
      </w:pPr>
    </w:p>
    <w:p w:rsidR="0079492D" w:rsidRDefault="002B4BE9" w:rsidP="00A04785">
      <w:pPr>
        <w:jc w:val="center"/>
      </w:pPr>
      <w:r w:rsidRPr="00C14ED0">
        <w:rPr>
          <w:noProof/>
        </w:rPr>
        <w:drawing>
          <wp:anchor distT="0" distB="0" distL="114300" distR="114300" simplePos="0" relativeHeight="253130752" behindDoc="1" locked="0" layoutInCell="1" allowOverlap="1" wp14:anchorId="02E46C70" wp14:editId="1020B9D1">
            <wp:simplePos x="0" y="0"/>
            <wp:positionH relativeFrom="column">
              <wp:posOffset>-323215</wp:posOffset>
            </wp:positionH>
            <wp:positionV relativeFrom="paragraph">
              <wp:posOffset>88265</wp:posOffset>
            </wp:positionV>
            <wp:extent cx="5989955" cy="2325370"/>
            <wp:effectExtent l="0" t="0" r="0" b="0"/>
            <wp:wrapTight wrapText="bothSides">
              <wp:wrapPolygon edited="0">
                <wp:start x="4740" y="0"/>
                <wp:lineTo x="0" y="2300"/>
                <wp:lineTo x="0" y="11856"/>
                <wp:lineTo x="13739" y="14510"/>
                <wp:lineTo x="0" y="14510"/>
                <wp:lineTo x="0" y="19288"/>
                <wp:lineTo x="10785" y="20173"/>
                <wp:lineTo x="0" y="20350"/>
                <wp:lineTo x="0" y="21057"/>
                <wp:lineTo x="3710" y="21411"/>
                <wp:lineTo x="4122" y="21411"/>
                <wp:lineTo x="7900" y="20880"/>
                <wp:lineTo x="10785" y="20173"/>
                <wp:lineTo x="21502" y="19996"/>
                <wp:lineTo x="21502" y="2300"/>
                <wp:lineTo x="16693" y="0"/>
                <wp:lineTo x="4740" y="0"/>
              </wp:wrapPolygon>
            </wp:wrapTight>
            <wp:docPr id="690" name="Immagin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89955" cy="23253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2F5A" w:rsidRDefault="00442F5A" w:rsidP="00A04785">
      <w:pPr>
        <w:jc w:val="center"/>
      </w:pPr>
    </w:p>
    <w:p w:rsidR="004E2A33" w:rsidRDefault="004E2A33" w:rsidP="00A04785">
      <w:pPr>
        <w:jc w:val="center"/>
      </w:pPr>
    </w:p>
    <w:p w:rsidR="002234AF" w:rsidRDefault="002234AF" w:rsidP="004E2A33">
      <w:pPr>
        <w:jc w:val="center"/>
      </w:pPr>
    </w:p>
    <w:p w:rsidR="002234AF" w:rsidRPr="008F0CCB" w:rsidRDefault="002234AF" w:rsidP="004E2A33">
      <w:pPr>
        <w:jc w:val="center"/>
        <w:rPr>
          <w:sz w:val="16"/>
        </w:rPr>
      </w:pPr>
    </w:p>
    <w:p w:rsidR="00FB446B" w:rsidRDefault="00FB446B" w:rsidP="00FB446B">
      <w:pPr>
        <w:jc w:val="center"/>
      </w:pPr>
    </w:p>
    <w:p w:rsidR="00FB446B" w:rsidRDefault="00FB446B" w:rsidP="00FB446B">
      <w:pPr>
        <w:jc w:val="center"/>
      </w:pPr>
    </w:p>
    <w:p w:rsidR="00761959" w:rsidRPr="006D6C03" w:rsidRDefault="00761959" w:rsidP="00761959">
      <w:pPr>
        <w:suppressAutoHyphens/>
        <w:spacing w:after="240"/>
        <w:ind w:right="-143"/>
        <w:outlineLvl w:val="0"/>
        <w:rPr>
          <w:rFonts w:ascii="Arial" w:hAnsi="Arial" w:cs="Arial"/>
          <w:b/>
          <w:bCs/>
          <w:smallCaps/>
          <w:noProof/>
          <w:color w:val="000080"/>
          <w:sz w:val="24"/>
          <w:szCs w:val="24"/>
        </w:rPr>
      </w:pPr>
      <w:bookmarkStart w:id="23" w:name="_Toc421119150"/>
      <w:bookmarkStart w:id="24" w:name="_Toc421173980"/>
      <w:bookmarkStart w:id="25" w:name="_Toc421177347"/>
      <w:r>
        <w:rPr>
          <w:noProof/>
        </w:rPr>
        <mc:AlternateContent>
          <mc:Choice Requires="wps">
            <w:drawing>
              <wp:anchor distT="0" distB="0" distL="114300" distR="114300" simplePos="0" relativeHeight="253198336" behindDoc="0" locked="0" layoutInCell="1" allowOverlap="1" wp14:anchorId="52853216" wp14:editId="5ADF5872">
                <wp:simplePos x="0" y="0"/>
                <wp:positionH relativeFrom="column">
                  <wp:posOffset>-85090</wp:posOffset>
                </wp:positionH>
                <wp:positionV relativeFrom="paragraph">
                  <wp:posOffset>-111125</wp:posOffset>
                </wp:positionV>
                <wp:extent cx="5441950" cy="279400"/>
                <wp:effectExtent l="38100" t="19050" r="82550" b="101600"/>
                <wp:wrapNone/>
                <wp:docPr id="307" name="Rettangolo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1950" cy="279400"/>
                        </a:xfrm>
                        <a:prstGeom prst="rect">
                          <a:avLst/>
                        </a:prstGeom>
                        <a:solidFill>
                          <a:srgbClr val="FFFFFF"/>
                        </a:solidFill>
                        <a:ln w="12700" algn="ctr">
                          <a:solidFill>
                            <a:srgbClr val="FABF8F"/>
                          </a:solidFill>
                          <a:miter lim="800000"/>
                          <a:headEnd/>
                          <a:tailEnd/>
                        </a:ln>
                        <a:effectLst>
                          <a:outerShdw blurRad="40000" dist="28398" dir="3806097" algn="ctr" rotWithShape="0">
                            <a:srgbClr val="974706">
                              <a:alpha val="50000"/>
                            </a:srgbClr>
                          </a:outerShdw>
                        </a:effectLst>
                      </wps:spPr>
                      <wps:txbx>
                        <w:txbxContent>
                          <w:p w:rsidR="00A16BCD" w:rsidRPr="00A04785" w:rsidRDefault="00A16BCD" w:rsidP="00761959">
                            <w:pPr>
                              <w:pStyle w:val="NormaleWeb"/>
                              <w:textAlignment w:val="baseline"/>
                              <w:rPr>
                                <w:rFonts w:ascii="Arial" w:hAnsi="Arial" w:cs="Arial"/>
                                <w:b/>
                                <w:smallCaps/>
                                <w:color w:val="000080"/>
                                <w:kern w:val="24"/>
                              </w:rPr>
                            </w:pPr>
                            <w:r>
                              <w:rPr>
                                <w:rFonts w:ascii="Arial" w:hAnsi="Arial" w:cs="Arial"/>
                                <w:b/>
                                <w:smallCaps/>
                                <w:color w:val="000080"/>
                                <w:kern w:val="24"/>
                              </w:rPr>
                              <w:t>Credito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307" o:spid="_x0000_s1030" style="position:absolute;margin-left:-6.7pt;margin-top:-8.75pt;width:428.5pt;height:22pt;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" strokecolor="#fabf8f" strokeweight="1pt">
                <v:shadow on="t" color="#974706" opacity=".5" offset="1pt"/>
                <v:textbox>
                  <w:txbxContent>
                    <w:p w:rsidR="00A16BCD" w:rsidRPr="00A04785" w:rsidRDefault="00A16BCD" w:rsidP="00761959">
                      <w:pPr>
                        <w:pStyle w:val="NormaleWeb"/>
                        <w:textAlignment w:val="baseline"/>
                        <w:rPr>
                          <w:rFonts w:ascii="Arial" w:hAnsi="Arial" w:cs="Arial"/>
                          <w:b/>
                          <w:smallCaps/>
                          <w:color w:val="000080"/>
                          <w:kern w:val="24"/>
                        </w:rPr>
                      </w:pPr>
                      <w:r>
                        <w:rPr>
                          <w:rFonts w:ascii="Arial" w:hAnsi="Arial" w:cs="Arial"/>
                          <w:b/>
                          <w:smallCaps/>
                          <w:color w:val="000080"/>
                          <w:kern w:val="24"/>
                        </w:rPr>
                        <w:t>Credito</w:t>
                      </w:r>
                    </w:p>
                  </w:txbxContent>
                </v:textbox>
              </v:rect>
            </w:pict>
          </mc:Fallback>
        </mc:AlternateContent>
      </w:r>
      <w:bookmarkEnd w:id="23"/>
      <w:bookmarkEnd w:id="24"/>
      <w:bookmarkEnd w:id="25"/>
    </w:p>
    <w:p w:rsidR="00761959" w:rsidRDefault="00761959" w:rsidP="00761959"/>
    <w:p w:rsidR="00761959" w:rsidRDefault="00761959" w:rsidP="00761959">
      <w:pPr>
        <w:jc w:val="center"/>
      </w:pPr>
      <w:r w:rsidRPr="00F73EB1">
        <w:rPr>
          <w:noProof/>
        </w:rPr>
        <w:drawing>
          <wp:inline distT="0" distB="0" distL="0" distR="0" wp14:anchorId="4551012E" wp14:editId="4FA70D8A">
            <wp:extent cx="5146795" cy="1704975"/>
            <wp:effectExtent l="0" t="0" r="0" b="0"/>
            <wp:docPr id="308" name="Immagin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3208" cy="1703787"/>
                    </a:xfrm>
                    <a:prstGeom prst="rect">
                      <a:avLst/>
                    </a:prstGeom>
                    <a:noFill/>
                    <a:ln>
                      <a:noFill/>
                    </a:ln>
                  </pic:spPr>
                </pic:pic>
              </a:graphicData>
            </a:graphic>
          </wp:inline>
        </w:drawing>
      </w:r>
    </w:p>
    <w:p w:rsidR="00DA7B62" w:rsidRDefault="00DA7B62" w:rsidP="00761959">
      <w:pPr>
        <w:jc w:val="center"/>
      </w:pPr>
    </w:p>
    <w:p w:rsidR="00DA7B62" w:rsidRDefault="00DA7B62" w:rsidP="00761959">
      <w:pPr>
        <w:jc w:val="center"/>
      </w:pPr>
    </w:p>
    <w:p w:rsidR="00761959" w:rsidRDefault="00761959" w:rsidP="00761959">
      <w:pPr>
        <w:jc w:val="center"/>
      </w:pPr>
      <w:r w:rsidRPr="00A22FAD">
        <w:rPr>
          <w:noProof/>
        </w:rPr>
        <w:drawing>
          <wp:inline distT="0" distB="0" distL="0" distR="0" wp14:anchorId="56BF3A14" wp14:editId="0123EE08">
            <wp:extent cx="4924425" cy="1964977"/>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24591" cy="1965043"/>
                    </a:xfrm>
                    <a:prstGeom prst="rect">
                      <a:avLst/>
                    </a:prstGeom>
                    <a:noFill/>
                    <a:ln>
                      <a:noFill/>
                    </a:ln>
                  </pic:spPr>
                </pic:pic>
              </a:graphicData>
            </a:graphic>
          </wp:inline>
        </w:drawing>
      </w:r>
    </w:p>
    <w:p w:rsidR="005E4B16" w:rsidRDefault="005E4B16" w:rsidP="00761959">
      <w:pPr>
        <w:jc w:val="center"/>
      </w:pPr>
    </w:p>
    <w:p w:rsidR="005E4B16" w:rsidRDefault="005E4B16" w:rsidP="00761959">
      <w:pPr>
        <w:jc w:val="center"/>
      </w:pPr>
    </w:p>
    <w:p w:rsidR="00761959" w:rsidRDefault="00761959" w:rsidP="00761959">
      <w:pPr>
        <w:jc w:val="center"/>
      </w:pPr>
      <w:r w:rsidRPr="006B7A3C">
        <w:rPr>
          <w:noProof/>
        </w:rPr>
        <w:drawing>
          <wp:inline distT="0" distB="0" distL="0" distR="0" wp14:anchorId="5A6F576F" wp14:editId="7C7A35CF">
            <wp:extent cx="5400040" cy="1901697"/>
            <wp:effectExtent l="0" t="0" r="0" b="0"/>
            <wp:docPr id="696" name="Immagin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0040" cy="1901697"/>
                    </a:xfrm>
                    <a:prstGeom prst="rect">
                      <a:avLst/>
                    </a:prstGeom>
                    <a:noFill/>
                    <a:ln>
                      <a:noFill/>
                    </a:ln>
                  </pic:spPr>
                </pic:pic>
              </a:graphicData>
            </a:graphic>
          </wp:inline>
        </w:drawing>
      </w:r>
    </w:p>
    <w:p w:rsidR="00DA7B62" w:rsidRDefault="00DA7B62" w:rsidP="00761959">
      <w:pPr>
        <w:jc w:val="center"/>
      </w:pPr>
    </w:p>
    <w:p w:rsidR="00DA7B62" w:rsidRDefault="00DA7B62" w:rsidP="00761959">
      <w:pPr>
        <w:jc w:val="center"/>
      </w:pPr>
    </w:p>
    <w:p w:rsidR="00761959" w:rsidRDefault="00DA7B62" w:rsidP="00761959">
      <w:pPr>
        <w:jc w:val="center"/>
      </w:pPr>
      <w:r w:rsidRPr="002701C4">
        <w:rPr>
          <w:noProof/>
        </w:rPr>
        <w:drawing>
          <wp:anchor distT="0" distB="0" distL="114300" distR="114300" simplePos="0" relativeHeight="253208576" behindDoc="1" locked="0" layoutInCell="1" allowOverlap="1" wp14:anchorId="776F2E7F" wp14:editId="7F57B857">
            <wp:simplePos x="0" y="0"/>
            <wp:positionH relativeFrom="column">
              <wp:posOffset>-241935</wp:posOffset>
            </wp:positionH>
            <wp:positionV relativeFrom="line">
              <wp:posOffset>304800</wp:posOffset>
            </wp:positionV>
            <wp:extent cx="6120130" cy="1864360"/>
            <wp:effectExtent l="0" t="0" r="0" b="0"/>
            <wp:wrapTight wrapText="bothSides">
              <wp:wrapPolygon edited="0">
                <wp:start x="3429" y="0"/>
                <wp:lineTo x="0" y="3090"/>
                <wp:lineTo x="0" y="10594"/>
                <wp:lineTo x="19700" y="11035"/>
                <wp:lineTo x="0" y="12801"/>
                <wp:lineTo x="0" y="20747"/>
                <wp:lineTo x="5513" y="20747"/>
                <wp:lineTo x="14321" y="20305"/>
                <wp:lineTo x="21515" y="19422"/>
                <wp:lineTo x="21515" y="3090"/>
                <wp:lineTo x="18019" y="0"/>
                <wp:lineTo x="3429" y="0"/>
              </wp:wrapPolygon>
            </wp:wrapTight>
            <wp:docPr id="310" name="Immagin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1864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1959" w:rsidRDefault="00761959" w:rsidP="00761959">
      <w:pPr>
        <w:jc w:val="center"/>
      </w:pPr>
      <w:r w:rsidRPr="00C851C5">
        <w:rPr>
          <w:noProof/>
        </w:rPr>
        <w:drawing>
          <wp:inline distT="0" distB="0" distL="0" distR="0" wp14:anchorId="6347EBB2" wp14:editId="592A02E0">
            <wp:extent cx="4157740" cy="596265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58868" cy="5964268"/>
                    </a:xfrm>
                    <a:prstGeom prst="rect">
                      <a:avLst/>
                    </a:prstGeom>
                    <a:noFill/>
                    <a:ln>
                      <a:noFill/>
                    </a:ln>
                  </pic:spPr>
                </pic:pic>
              </a:graphicData>
            </a:graphic>
          </wp:inline>
        </w:drawing>
      </w:r>
    </w:p>
    <w:p w:rsidR="00761959" w:rsidRDefault="00761959" w:rsidP="00761959">
      <w:pPr>
        <w:jc w:val="center"/>
      </w:pPr>
    </w:p>
    <w:p w:rsidR="00761959" w:rsidRDefault="00761959" w:rsidP="00761959">
      <w:pPr>
        <w:jc w:val="center"/>
      </w:pPr>
    </w:p>
    <w:p w:rsidR="00761959" w:rsidRDefault="00761959" w:rsidP="00761959">
      <w:pPr>
        <w:jc w:val="center"/>
      </w:pPr>
    </w:p>
    <w:p w:rsidR="00761959" w:rsidRDefault="00761959" w:rsidP="00761959">
      <w:pPr>
        <w:jc w:val="center"/>
      </w:pPr>
    </w:p>
    <w:p w:rsidR="00761959" w:rsidRDefault="00761959" w:rsidP="00761959">
      <w:pPr>
        <w:jc w:val="center"/>
      </w:pPr>
    </w:p>
    <w:p w:rsidR="00761959" w:rsidRDefault="00761959" w:rsidP="00761959">
      <w:pPr>
        <w:jc w:val="center"/>
      </w:pPr>
    </w:p>
    <w:p w:rsidR="00761959" w:rsidRDefault="00761959" w:rsidP="00761959">
      <w:pPr>
        <w:jc w:val="center"/>
      </w:pPr>
      <w:r w:rsidRPr="00855E31">
        <w:rPr>
          <w:noProof/>
        </w:rPr>
        <w:drawing>
          <wp:inline distT="0" distB="0" distL="0" distR="0" wp14:anchorId="3BBD24D7" wp14:editId="623B214C">
            <wp:extent cx="4137814" cy="593407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37814" cy="5934075"/>
                    </a:xfrm>
                    <a:prstGeom prst="rect">
                      <a:avLst/>
                    </a:prstGeom>
                    <a:noFill/>
                    <a:ln>
                      <a:noFill/>
                    </a:ln>
                  </pic:spPr>
                </pic:pic>
              </a:graphicData>
            </a:graphic>
          </wp:inline>
        </w:drawing>
      </w:r>
    </w:p>
    <w:p w:rsidR="00761959" w:rsidRDefault="00761959" w:rsidP="00761959">
      <w:pPr>
        <w:jc w:val="center"/>
      </w:pPr>
    </w:p>
    <w:p w:rsidR="00761959" w:rsidRDefault="00761959" w:rsidP="00761959">
      <w:pPr>
        <w:jc w:val="center"/>
      </w:pPr>
    </w:p>
    <w:p w:rsidR="00761959" w:rsidRDefault="00761959" w:rsidP="00761959">
      <w:pPr>
        <w:jc w:val="center"/>
      </w:pPr>
    </w:p>
    <w:p w:rsidR="00761959" w:rsidRDefault="00761959" w:rsidP="00761959">
      <w:pPr>
        <w:jc w:val="center"/>
      </w:pPr>
    </w:p>
    <w:p w:rsidR="00761959" w:rsidRDefault="00761959" w:rsidP="00761959">
      <w:pPr>
        <w:jc w:val="center"/>
      </w:pPr>
    </w:p>
    <w:p w:rsidR="00761959" w:rsidRDefault="00761959" w:rsidP="00761959">
      <w:pPr>
        <w:jc w:val="center"/>
      </w:pPr>
    </w:p>
    <w:p w:rsidR="00761959" w:rsidRDefault="00761959" w:rsidP="00761959">
      <w:pPr>
        <w:jc w:val="center"/>
      </w:pPr>
      <w:r w:rsidRPr="00855E31">
        <w:rPr>
          <w:noProof/>
        </w:rPr>
        <w:drawing>
          <wp:inline distT="0" distB="0" distL="0" distR="0" wp14:anchorId="11794E9B" wp14:editId="75C95CA8">
            <wp:extent cx="4297143" cy="6029325"/>
            <wp:effectExtent l="0" t="0" r="825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00541" cy="6034093"/>
                    </a:xfrm>
                    <a:prstGeom prst="rect">
                      <a:avLst/>
                    </a:prstGeom>
                    <a:noFill/>
                    <a:ln>
                      <a:noFill/>
                    </a:ln>
                  </pic:spPr>
                </pic:pic>
              </a:graphicData>
            </a:graphic>
          </wp:inline>
        </w:drawing>
      </w:r>
    </w:p>
    <w:p w:rsidR="00FB446B" w:rsidRDefault="00FB446B" w:rsidP="00FB446B">
      <w:pPr>
        <w:jc w:val="center"/>
      </w:pPr>
    </w:p>
    <w:p w:rsidR="00FB446B" w:rsidRDefault="00FB446B" w:rsidP="00FB446B">
      <w:pPr>
        <w:jc w:val="center"/>
      </w:pPr>
    </w:p>
    <w:p w:rsidR="00FB446B" w:rsidRDefault="00FB446B" w:rsidP="00FB446B">
      <w:pPr>
        <w:jc w:val="center"/>
      </w:pPr>
    </w:p>
    <w:p w:rsidR="008F0CCB" w:rsidRDefault="008F0CCB" w:rsidP="00FB446B">
      <w:pPr>
        <w:jc w:val="center"/>
      </w:pPr>
    </w:p>
    <w:p w:rsidR="00FB446B" w:rsidRDefault="00FB446B" w:rsidP="00A22FAD">
      <w:pPr>
        <w:jc w:val="right"/>
      </w:pPr>
    </w:p>
    <w:p w:rsidR="00FB446B" w:rsidRDefault="00FB446B" w:rsidP="00A22FAD"/>
    <w:p w:rsidR="00FB446B" w:rsidRDefault="00FB446B" w:rsidP="00FB446B"/>
    <w:p w:rsidR="005E4B16" w:rsidRDefault="005E4B16" w:rsidP="00FB446B"/>
    <w:p w:rsidR="005E4B16" w:rsidRDefault="005E4B16" w:rsidP="00FB446B"/>
    <w:p w:rsidR="005E4B16" w:rsidRDefault="005E4B16" w:rsidP="00FB446B"/>
    <w:p w:rsidR="005E4B16" w:rsidRDefault="005E4B16" w:rsidP="00FB446B"/>
    <w:p w:rsidR="005E4B16" w:rsidRDefault="005E4B16" w:rsidP="00FB446B"/>
    <w:p w:rsidR="005E4B16" w:rsidRDefault="005E4B16" w:rsidP="00FB446B"/>
    <w:p w:rsidR="00FB446B" w:rsidRDefault="00FB446B" w:rsidP="00FB446B">
      <w:pPr>
        <w:jc w:val="center"/>
      </w:pPr>
    </w:p>
    <w:p w:rsidR="00FB446B" w:rsidRDefault="00FB446B" w:rsidP="00FB446B">
      <w:pPr>
        <w:jc w:val="center"/>
      </w:pPr>
    </w:p>
    <w:p w:rsidR="00FB446B" w:rsidRDefault="00FB446B" w:rsidP="00FB446B">
      <w:pPr>
        <w:jc w:val="center"/>
      </w:pPr>
    </w:p>
    <w:p w:rsidR="0079492D" w:rsidRDefault="0079492D" w:rsidP="004E2A33">
      <w:pPr>
        <w:jc w:val="center"/>
      </w:pPr>
    </w:p>
    <w:p w:rsidR="004E2A33" w:rsidRDefault="004E2A33" w:rsidP="004E2A33">
      <w:pPr>
        <w:jc w:val="center"/>
      </w:pPr>
      <w:r>
        <w:rPr>
          <w:noProof/>
        </w:rPr>
        <mc:AlternateContent>
          <mc:Choice Requires="wps">
            <w:drawing>
              <wp:anchor distT="0" distB="0" distL="114300" distR="114300" simplePos="0" relativeHeight="253116416" behindDoc="0" locked="0" layoutInCell="1" allowOverlap="1" wp14:anchorId="48F49CC1" wp14:editId="6B2E7E8A">
                <wp:simplePos x="0" y="0"/>
                <wp:positionH relativeFrom="column">
                  <wp:posOffset>-54610</wp:posOffset>
                </wp:positionH>
                <wp:positionV relativeFrom="paragraph">
                  <wp:posOffset>50800</wp:posOffset>
                </wp:positionV>
                <wp:extent cx="5441950" cy="279400"/>
                <wp:effectExtent l="38100" t="19050" r="82550" b="101600"/>
                <wp:wrapNone/>
                <wp:docPr id="14" name="Rettango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1950" cy="279400"/>
                        </a:xfrm>
                        <a:prstGeom prst="rect">
                          <a:avLst/>
                        </a:prstGeom>
                        <a:solidFill>
                          <a:srgbClr val="FFFFFF"/>
                        </a:solidFill>
                        <a:ln w="12700" algn="ctr">
                          <a:solidFill>
                            <a:srgbClr val="FABF8F"/>
                          </a:solidFill>
                          <a:miter lim="800000"/>
                          <a:headEnd/>
                          <a:tailEnd/>
                        </a:ln>
                        <a:effectLst>
                          <a:outerShdw blurRad="40000" dist="28398" dir="3806097" algn="ctr" rotWithShape="0">
                            <a:srgbClr val="974706">
                              <a:alpha val="50000"/>
                            </a:srgbClr>
                          </a:outerShdw>
                        </a:effectLst>
                      </wps:spPr>
                      <wps:txbx>
                        <w:txbxContent>
                          <w:p w:rsidR="00A16BCD" w:rsidRPr="00A04785" w:rsidRDefault="00A16BCD" w:rsidP="004E2A33">
                            <w:pPr>
                              <w:pStyle w:val="NormaleWeb"/>
                              <w:textAlignment w:val="baseline"/>
                              <w:rPr>
                                <w:rFonts w:ascii="Arial" w:hAnsi="Arial" w:cs="Arial"/>
                                <w:b/>
                                <w:smallCaps/>
                                <w:color w:val="000080"/>
                                <w:kern w:val="24"/>
                              </w:rPr>
                            </w:pPr>
                            <w:r>
                              <w:rPr>
                                <w:rFonts w:ascii="Arial" w:hAnsi="Arial" w:cs="Arial"/>
                                <w:b/>
                                <w:smallCaps/>
                                <w:color w:val="000080"/>
                                <w:kern w:val="24"/>
                              </w:rPr>
                              <w:t>Popolazione, famiglie e stock abitativo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14" o:spid="_x0000_s1031" style="position:absolute;left:0;text-align:left;margin-left:-4.3pt;margin-top:4pt;width:428.5pt;height:22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" strokecolor="#fabf8f" strokeweight="1pt">
                <v:shadow on="t" color="#974706" opacity=".5" offset="1pt"/>
                <v:textbox>
                  <w:txbxContent>
                    <w:p w:rsidR="00A16BCD" w:rsidRPr="00A04785" w:rsidRDefault="00A16BCD" w:rsidP="004E2A33">
                      <w:pPr>
                        <w:pStyle w:val="NormaleWeb"/>
                        <w:textAlignment w:val="baseline"/>
                        <w:rPr>
                          <w:rFonts w:ascii="Arial" w:hAnsi="Arial" w:cs="Arial"/>
                          <w:b/>
                          <w:smallCaps/>
                          <w:color w:val="000080"/>
                          <w:kern w:val="24"/>
                        </w:rPr>
                      </w:pPr>
                      <w:r>
                        <w:rPr>
                          <w:rFonts w:ascii="Arial" w:hAnsi="Arial" w:cs="Arial"/>
                          <w:b/>
                          <w:smallCaps/>
                          <w:color w:val="000080"/>
                          <w:kern w:val="24"/>
                        </w:rPr>
                        <w:t>Popolazione, famiglie e stock abitativo</w:t>
                      </w:r>
                    </w:p>
                  </w:txbxContent>
                </v:textbox>
              </v:rect>
            </w:pict>
          </mc:Fallback>
        </mc:AlternateContent>
      </w:r>
    </w:p>
    <w:p w:rsidR="004E2A33" w:rsidRDefault="005E4B16" w:rsidP="004E2A33">
      <w:pPr>
        <w:jc w:val="center"/>
      </w:pPr>
      <w:r>
        <w:rPr>
          <w:noProof/>
        </w:rPr>
        <w:drawing>
          <wp:anchor distT="0" distB="0" distL="114300" distR="114300" simplePos="0" relativeHeight="253210624" behindDoc="0" locked="0" layoutInCell="1" allowOverlap="1" wp14:anchorId="2E5F1794" wp14:editId="11185738">
            <wp:simplePos x="0" y="0"/>
            <wp:positionH relativeFrom="column">
              <wp:posOffset>-194310</wp:posOffset>
            </wp:positionH>
            <wp:positionV relativeFrom="paragraph">
              <wp:posOffset>631190</wp:posOffset>
            </wp:positionV>
            <wp:extent cx="6286500" cy="2360930"/>
            <wp:effectExtent l="0" t="0" r="0" b="0"/>
            <wp:wrapSquare wrapText="bothSides"/>
            <wp:docPr id="720" name="Immagin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86500" cy="2360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2A33" w:rsidRDefault="004E2A33" w:rsidP="004E2A33">
      <w:pPr>
        <w:jc w:val="center"/>
      </w:pPr>
    </w:p>
    <w:p w:rsidR="004E2A33" w:rsidRDefault="004E2A33" w:rsidP="004E2A33">
      <w:pPr>
        <w:jc w:val="center"/>
        <w:rPr>
          <w:noProof/>
        </w:rPr>
      </w:pPr>
    </w:p>
    <w:p w:rsidR="00DA7B62" w:rsidRDefault="00DA7B62" w:rsidP="004E2A33">
      <w:pPr>
        <w:jc w:val="center"/>
        <w:rPr>
          <w:noProof/>
        </w:rPr>
      </w:pPr>
    </w:p>
    <w:p w:rsidR="00DA7B62" w:rsidRDefault="005E4B16" w:rsidP="004E2A33">
      <w:pPr>
        <w:jc w:val="center"/>
        <w:rPr>
          <w:noProof/>
        </w:rPr>
      </w:pPr>
      <w:r w:rsidRPr="00721431">
        <w:rPr>
          <w:noProof/>
        </w:rPr>
        <w:drawing>
          <wp:anchor distT="0" distB="0" distL="114300" distR="114300" simplePos="0" relativeHeight="253118464" behindDoc="1" locked="0" layoutInCell="1" allowOverlap="1" wp14:anchorId="1D0A1BDD" wp14:editId="27DBBA17">
            <wp:simplePos x="0" y="0"/>
            <wp:positionH relativeFrom="column">
              <wp:posOffset>-126365</wp:posOffset>
            </wp:positionH>
            <wp:positionV relativeFrom="paragraph">
              <wp:posOffset>2921635</wp:posOffset>
            </wp:positionV>
            <wp:extent cx="6220460" cy="2105660"/>
            <wp:effectExtent l="0" t="0" r="8890" b="8890"/>
            <wp:wrapTight wrapText="bothSides">
              <wp:wrapPolygon edited="0">
                <wp:start x="10782" y="0"/>
                <wp:lineTo x="0" y="0"/>
                <wp:lineTo x="0" y="21496"/>
                <wp:lineTo x="15016" y="21496"/>
                <wp:lineTo x="18588" y="21105"/>
                <wp:lineTo x="21565" y="20128"/>
                <wp:lineTo x="21565" y="0"/>
                <wp:lineTo x="10782" y="0"/>
              </wp:wrapPolygon>
            </wp:wrapTight>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20460" cy="2105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400A4" w:rsidRDefault="00A400A4" w:rsidP="00DA6012">
      <w:pPr>
        <w:jc w:val="center"/>
      </w:pPr>
    </w:p>
    <w:p w:rsidR="00A400A4" w:rsidRDefault="00A400A4" w:rsidP="00DA6012">
      <w:pPr>
        <w:jc w:val="center"/>
      </w:pPr>
      <w:r w:rsidRPr="00A400A4">
        <w:rPr>
          <w:noProof/>
        </w:rPr>
        <w:drawing>
          <wp:inline distT="0" distB="0" distL="0" distR="0" wp14:anchorId="12E07659" wp14:editId="4828EBDB">
            <wp:extent cx="4796133" cy="3352800"/>
            <wp:effectExtent l="0" t="0" r="5080" b="0"/>
            <wp:docPr id="721" name="Immagin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00035" cy="3355528"/>
                    </a:xfrm>
                    <a:prstGeom prst="rect">
                      <a:avLst/>
                    </a:prstGeom>
                    <a:noFill/>
                    <a:ln>
                      <a:noFill/>
                    </a:ln>
                  </pic:spPr>
                </pic:pic>
              </a:graphicData>
            </a:graphic>
          </wp:inline>
        </w:drawing>
      </w:r>
    </w:p>
    <w:p w:rsidR="005E4B16" w:rsidRDefault="005E4B16" w:rsidP="00DA6012">
      <w:pPr>
        <w:jc w:val="center"/>
      </w:pPr>
      <w:r w:rsidRPr="004E2A33">
        <w:rPr>
          <w:noProof/>
        </w:rPr>
        <w:drawing>
          <wp:anchor distT="0" distB="0" distL="114300" distR="114300" simplePos="0" relativeHeight="253212672" behindDoc="0" locked="0" layoutInCell="1" allowOverlap="1" wp14:anchorId="4F158055" wp14:editId="06E92ACD">
            <wp:simplePos x="0" y="0"/>
            <wp:positionH relativeFrom="column">
              <wp:posOffset>2844165</wp:posOffset>
            </wp:positionH>
            <wp:positionV relativeFrom="paragraph">
              <wp:posOffset>266065</wp:posOffset>
            </wp:positionV>
            <wp:extent cx="3038475" cy="1787525"/>
            <wp:effectExtent l="0" t="0" r="9525" b="3175"/>
            <wp:wrapSquare wrapText="bothSides"/>
            <wp:docPr id="677" name="Immagin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38475" cy="178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4B16" w:rsidRDefault="005E4B16" w:rsidP="00DA6012">
      <w:pPr>
        <w:jc w:val="center"/>
      </w:pPr>
      <w:r>
        <w:rPr>
          <w:noProof/>
        </w:rPr>
        <w:drawing>
          <wp:anchor distT="0" distB="0" distL="114300" distR="114300" simplePos="0" relativeHeight="253215744" behindDoc="0" locked="0" layoutInCell="1" allowOverlap="1" wp14:anchorId="7B19D816" wp14:editId="2983ACAB">
            <wp:simplePos x="0" y="0"/>
            <wp:positionH relativeFrom="column">
              <wp:posOffset>-441960</wp:posOffset>
            </wp:positionH>
            <wp:positionV relativeFrom="line">
              <wp:posOffset>81915</wp:posOffset>
            </wp:positionV>
            <wp:extent cx="3105150" cy="1825625"/>
            <wp:effectExtent l="0" t="0" r="0" b="3175"/>
            <wp:wrapSquare wrapText="bothSides"/>
            <wp:docPr id="722" name="Immagin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05150" cy="1825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4B16" w:rsidRDefault="005E4B16" w:rsidP="00DA6012">
      <w:pPr>
        <w:jc w:val="center"/>
      </w:pPr>
    </w:p>
    <w:p w:rsidR="00A400A4" w:rsidRDefault="005E4B16" w:rsidP="00DA6012">
      <w:pPr>
        <w:jc w:val="center"/>
      </w:pPr>
      <w:r w:rsidRPr="001343B7">
        <w:rPr>
          <w:noProof/>
        </w:rPr>
        <w:drawing>
          <wp:anchor distT="0" distB="0" distL="114300" distR="114300" simplePos="0" relativeHeight="253214720" behindDoc="0" locked="0" layoutInCell="1" allowOverlap="1" wp14:anchorId="4638DD7B" wp14:editId="0E958CF5">
            <wp:simplePos x="0" y="0"/>
            <wp:positionH relativeFrom="column">
              <wp:posOffset>2948940</wp:posOffset>
            </wp:positionH>
            <wp:positionV relativeFrom="paragraph">
              <wp:posOffset>39370</wp:posOffset>
            </wp:positionV>
            <wp:extent cx="2772410" cy="2828925"/>
            <wp:effectExtent l="0" t="0" r="0" b="0"/>
            <wp:wrapSquare wrapText="bothSides"/>
            <wp:docPr id="684" name="Immagin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72410" cy="2828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color w:val="000080"/>
          <w:szCs w:val="18"/>
        </w:rPr>
        <w:drawing>
          <wp:anchor distT="0" distB="0" distL="114300" distR="114300" simplePos="0" relativeHeight="253217792" behindDoc="0" locked="0" layoutInCell="1" allowOverlap="1" wp14:anchorId="3B04EEAD" wp14:editId="47453CC3">
            <wp:simplePos x="0" y="0"/>
            <wp:positionH relativeFrom="column">
              <wp:posOffset>-518160</wp:posOffset>
            </wp:positionH>
            <wp:positionV relativeFrom="paragraph">
              <wp:posOffset>38735</wp:posOffset>
            </wp:positionV>
            <wp:extent cx="2940050" cy="3000375"/>
            <wp:effectExtent l="0" t="0" r="0" b="0"/>
            <wp:wrapSquare wrapText="bothSides"/>
            <wp:docPr id="723" name="Immagin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40050" cy="3000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00A4" w:rsidRDefault="00A400A4" w:rsidP="00DA6012">
      <w:pPr>
        <w:jc w:val="center"/>
      </w:pPr>
    </w:p>
    <w:p w:rsidR="00A400A4" w:rsidRDefault="00A400A4" w:rsidP="00DA6012">
      <w:pPr>
        <w:jc w:val="center"/>
      </w:pPr>
    </w:p>
    <w:p w:rsidR="00A400A4" w:rsidRDefault="00A400A4" w:rsidP="00DA6012">
      <w:pPr>
        <w:jc w:val="center"/>
      </w:pPr>
    </w:p>
    <w:p w:rsidR="00A400A4" w:rsidRDefault="00A400A4" w:rsidP="00DA6012">
      <w:pPr>
        <w:jc w:val="center"/>
      </w:pPr>
    </w:p>
    <w:p w:rsidR="00A400A4" w:rsidRDefault="00A400A4" w:rsidP="00DA6012">
      <w:pPr>
        <w:jc w:val="center"/>
      </w:pPr>
    </w:p>
    <w:p w:rsidR="00A400A4" w:rsidRDefault="00A400A4" w:rsidP="00DA6012">
      <w:pPr>
        <w:jc w:val="center"/>
      </w:pPr>
    </w:p>
    <w:p w:rsidR="00A400A4" w:rsidRDefault="00A400A4" w:rsidP="00DA6012">
      <w:pPr>
        <w:jc w:val="center"/>
      </w:pPr>
    </w:p>
    <w:p w:rsidR="00C022F7" w:rsidRDefault="00C022F7" w:rsidP="00DA6012">
      <w:pPr>
        <w:jc w:val="center"/>
      </w:pPr>
    </w:p>
    <w:sectPr w:rsidR="00C022F7" w:rsidSect="00E3313C">
      <w:headerReference w:type="default" r:id="rId73"/>
      <w:headerReference w:type="first" r:id="rId74"/>
      <w:type w:val="oddPage"/>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6BCD" w:rsidRDefault="00A16BCD">
      <w:r>
        <w:separator/>
      </w:r>
    </w:p>
  </w:endnote>
  <w:endnote w:type="continuationSeparator" w:id="0">
    <w:p w:rsidR="00A16BCD" w:rsidRDefault="00A16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NewRoman,Italic">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BCD" w:rsidRDefault="00A16BCD">
    <w:pPr>
      <w:pStyle w:val="Pidipagina"/>
      <w:tabs>
        <w:tab w:val="clear" w:pos="9638"/>
        <w:tab w:val="left" w:pos="8505"/>
        <w:tab w:val="left" w:pos="8931"/>
        <w:tab w:val="left" w:pos="9639"/>
        <w:tab w:val="left" w:pos="10065"/>
      </w:tabs>
      <w:ind w:right="424"/>
      <w:rPr>
        <w:smallCap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670552"/>
      <w:docPartObj>
        <w:docPartGallery w:val="Page Numbers (Bottom of Page)"/>
        <w:docPartUnique/>
      </w:docPartObj>
    </w:sdtPr>
    <w:sdtEndPr>
      <w:rPr>
        <w:rFonts w:ascii="Arial" w:hAnsi="Arial" w:cs="Arial"/>
      </w:rPr>
    </w:sdtEndPr>
    <w:sdtContent>
      <w:p w:rsidR="00A16BCD" w:rsidRPr="005A5D46" w:rsidRDefault="00A16BCD">
        <w:pPr>
          <w:pStyle w:val="Pidipagina"/>
          <w:jc w:val="right"/>
          <w:rPr>
            <w:rFonts w:ascii="Arial" w:hAnsi="Arial" w:cs="Arial"/>
          </w:rPr>
        </w:pPr>
        <w:r w:rsidRPr="005A5D46">
          <w:rPr>
            <w:rFonts w:ascii="Arial" w:hAnsi="Arial" w:cs="Arial"/>
          </w:rPr>
          <w:fldChar w:fldCharType="begin"/>
        </w:r>
        <w:r w:rsidRPr="005A5D46">
          <w:rPr>
            <w:rFonts w:ascii="Arial" w:hAnsi="Arial" w:cs="Arial"/>
          </w:rPr>
          <w:instrText>PAGE   \* MERGEFORMAT</w:instrText>
        </w:r>
        <w:r w:rsidRPr="005A5D46">
          <w:rPr>
            <w:rFonts w:ascii="Arial" w:hAnsi="Arial" w:cs="Arial"/>
          </w:rPr>
          <w:fldChar w:fldCharType="separate"/>
        </w:r>
        <w:r w:rsidR="005A5217">
          <w:rPr>
            <w:rFonts w:ascii="Arial" w:hAnsi="Arial" w:cs="Arial"/>
            <w:noProof/>
          </w:rPr>
          <w:t>29</w:t>
        </w:r>
        <w:r w:rsidRPr="005A5D46">
          <w:rPr>
            <w:rFonts w:ascii="Arial" w:hAnsi="Arial" w:cs="Arial"/>
          </w:rPr>
          <w:fldChar w:fldCharType="end"/>
        </w:r>
      </w:p>
    </w:sdtContent>
  </w:sdt>
  <w:p w:rsidR="00A16BCD" w:rsidRDefault="00A16BCD">
    <w:pPr>
      <w:pStyle w:val="Pidipagina"/>
      <w:tabs>
        <w:tab w:val="clear" w:pos="9638"/>
        <w:tab w:val="left" w:pos="8505"/>
        <w:tab w:val="left" w:pos="8931"/>
        <w:tab w:val="left" w:pos="9639"/>
        <w:tab w:val="left" w:pos="10065"/>
      </w:tabs>
      <w:ind w:right="424"/>
      <w:rPr>
        <w:smallCap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6BCD" w:rsidRDefault="00A16BCD">
      <w:r>
        <w:separator/>
      </w:r>
    </w:p>
  </w:footnote>
  <w:footnote w:type="continuationSeparator" w:id="0">
    <w:p w:rsidR="00A16BCD" w:rsidRDefault="00A16BCD">
      <w:r>
        <w:continuationSeparator/>
      </w:r>
    </w:p>
  </w:footnote>
  <w:footnote w:id="1">
    <w:p w:rsidR="00537891" w:rsidRPr="00B1283D" w:rsidRDefault="00537891" w:rsidP="00537891">
      <w:pPr>
        <w:pStyle w:val="Testonotaapidipagina"/>
        <w:jc w:val="both"/>
        <w:rPr>
          <w:rFonts w:ascii="Arial" w:hAnsi="Arial" w:cs="Arial"/>
          <w:sz w:val="18"/>
          <w:szCs w:val="18"/>
        </w:rPr>
      </w:pPr>
      <w:r>
        <w:rPr>
          <w:rStyle w:val="Rimandonotaapidipagina"/>
        </w:rPr>
        <w:footnoteRef/>
      </w:r>
      <w:r>
        <w:t xml:space="preserve"> </w:t>
      </w:r>
      <w:r w:rsidRPr="00B1283D">
        <w:rPr>
          <w:rFonts w:ascii="Arial" w:hAnsi="Arial" w:cs="Arial"/>
          <w:sz w:val="18"/>
          <w:szCs w:val="18"/>
        </w:rPr>
        <w:t>La dotazione del Fondo Sviluppo e Coesione deve tuttora essere confermata con delibera CIPE da a</w:t>
      </w:r>
      <w:r w:rsidRPr="00B1283D">
        <w:rPr>
          <w:rFonts w:ascii="Arial" w:hAnsi="Arial" w:cs="Arial"/>
          <w:sz w:val="18"/>
          <w:szCs w:val="18"/>
        </w:rPr>
        <w:t>p</w:t>
      </w:r>
      <w:r w:rsidRPr="00B1283D">
        <w:rPr>
          <w:rFonts w:ascii="Arial" w:hAnsi="Arial" w:cs="Arial"/>
          <w:sz w:val="18"/>
          <w:szCs w:val="18"/>
        </w:rPr>
        <w:t>provare entro l’estate 2015. Secondo le prime indicazioni, il 60% delle risorse dovrebbe essere gestito a livello nazionale ed il 40% a livello regionale.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BCD" w:rsidRPr="007B59B0" w:rsidRDefault="00A16BCD" w:rsidP="00533B5B">
    <w:pPr>
      <w:pStyle w:val="Intestazione"/>
      <w:pBdr>
        <w:bottom w:val="single" w:sz="4" w:space="1" w:color="auto"/>
      </w:pBdr>
      <w:jc w:val="right"/>
      <w:rPr>
        <w:rFonts w:ascii="Arial" w:hAnsi="Arial" w:cs="Arial"/>
        <w:sz w:val="18"/>
        <w:szCs w:val="18"/>
      </w:rPr>
    </w:pPr>
    <w:r>
      <w:rPr>
        <w:rFonts w:ascii="Arial" w:hAnsi="Arial" w:cs="Arial"/>
        <w:sz w:val="18"/>
        <w:szCs w:val="18"/>
      </w:rPr>
      <w:t>Le costruzioni in Emilia-Romagna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BCD" w:rsidRPr="007B59B0" w:rsidRDefault="00A16BCD" w:rsidP="00ED31CC">
    <w:pPr>
      <w:pStyle w:val="Intestazione"/>
      <w:pBdr>
        <w:bottom w:val="single" w:sz="4" w:space="1" w:color="auto"/>
      </w:pBdr>
      <w:jc w:val="right"/>
      <w:rPr>
        <w:rFonts w:ascii="Arial" w:hAnsi="Arial" w:cs="Arial"/>
        <w:sz w:val="18"/>
        <w:szCs w:val="18"/>
      </w:rPr>
    </w:pPr>
    <w:r>
      <w:rPr>
        <w:rFonts w:ascii="Arial" w:hAnsi="Arial" w:cs="Arial"/>
        <w:sz w:val="18"/>
        <w:szCs w:val="18"/>
      </w:rPr>
      <w:t>REPORT: Le costruzioni nella provincia di Lecce</w:t>
    </w:r>
  </w:p>
  <w:p w:rsidR="00A16BCD" w:rsidRDefault="00A16BCD">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BCD" w:rsidRPr="007B59B0" w:rsidRDefault="00A16BCD" w:rsidP="00533B5B">
    <w:pPr>
      <w:pStyle w:val="Intestazione"/>
      <w:pBdr>
        <w:bottom w:val="single" w:sz="4" w:space="1" w:color="auto"/>
      </w:pBdr>
      <w:jc w:val="right"/>
      <w:rPr>
        <w:rFonts w:ascii="Arial" w:hAnsi="Arial" w:cs="Arial"/>
        <w:sz w:val="18"/>
        <w:szCs w:val="18"/>
      </w:rPr>
    </w:pPr>
    <w:r>
      <w:rPr>
        <w:rFonts w:ascii="Arial" w:hAnsi="Arial" w:cs="Arial"/>
        <w:sz w:val="18"/>
        <w:szCs w:val="18"/>
      </w:rPr>
      <w:t>Allegato statistico</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BCD" w:rsidRPr="007B59B0" w:rsidRDefault="00A16BCD" w:rsidP="00ED31CC">
    <w:pPr>
      <w:pStyle w:val="Intestazione"/>
      <w:pBdr>
        <w:bottom w:val="single" w:sz="4" w:space="1" w:color="auto"/>
      </w:pBdr>
      <w:jc w:val="right"/>
      <w:rPr>
        <w:rFonts w:ascii="Arial" w:hAnsi="Arial" w:cs="Arial"/>
        <w:sz w:val="18"/>
        <w:szCs w:val="18"/>
      </w:rPr>
    </w:pPr>
    <w:r>
      <w:rPr>
        <w:rFonts w:ascii="Arial" w:hAnsi="Arial" w:cs="Arial"/>
        <w:sz w:val="18"/>
        <w:szCs w:val="18"/>
      </w:rPr>
      <w:t>REPORT: Le costruzioni nella provincia di Lecce</w:t>
    </w:r>
  </w:p>
  <w:p w:rsidR="00A16BCD" w:rsidRDefault="00A16BCD">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352134C"/>
    <w:lvl w:ilvl="0">
      <w:start w:val="1"/>
      <w:numFmt w:val="decimal"/>
      <w:pStyle w:val="Numeroelenco5"/>
      <w:lvlText w:val="%1."/>
      <w:lvlJc w:val="left"/>
      <w:pPr>
        <w:tabs>
          <w:tab w:val="num" w:pos="1492"/>
        </w:tabs>
        <w:ind w:left="1492" w:hanging="360"/>
      </w:pPr>
    </w:lvl>
  </w:abstractNum>
  <w:abstractNum w:abstractNumId="1">
    <w:nsid w:val="FFFFFF7D"/>
    <w:multiLevelType w:val="singleLevel"/>
    <w:tmpl w:val="432E907A"/>
    <w:lvl w:ilvl="0">
      <w:start w:val="1"/>
      <w:numFmt w:val="decimal"/>
      <w:pStyle w:val="Numeroelenco4"/>
      <w:lvlText w:val="%1."/>
      <w:lvlJc w:val="left"/>
      <w:pPr>
        <w:tabs>
          <w:tab w:val="num" w:pos="1209"/>
        </w:tabs>
        <w:ind w:left="1209" w:hanging="360"/>
      </w:pPr>
    </w:lvl>
  </w:abstractNum>
  <w:abstractNum w:abstractNumId="2">
    <w:nsid w:val="FFFFFF7E"/>
    <w:multiLevelType w:val="singleLevel"/>
    <w:tmpl w:val="4768BB56"/>
    <w:lvl w:ilvl="0">
      <w:start w:val="1"/>
      <w:numFmt w:val="decimal"/>
      <w:pStyle w:val="Numeroelenco3"/>
      <w:lvlText w:val="%1."/>
      <w:lvlJc w:val="left"/>
      <w:pPr>
        <w:tabs>
          <w:tab w:val="num" w:pos="926"/>
        </w:tabs>
        <w:ind w:left="926" w:hanging="360"/>
      </w:pPr>
    </w:lvl>
  </w:abstractNum>
  <w:abstractNum w:abstractNumId="3">
    <w:nsid w:val="FFFFFF7F"/>
    <w:multiLevelType w:val="singleLevel"/>
    <w:tmpl w:val="3C2CD24C"/>
    <w:lvl w:ilvl="0">
      <w:start w:val="1"/>
      <w:numFmt w:val="decimal"/>
      <w:pStyle w:val="Numeroelenco2"/>
      <w:lvlText w:val="%1."/>
      <w:lvlJc w:val="left"/>
      <w:pPr>
        <w:tabs>
          <w:tab w:val="num" w:pos="643"/>
        </w:tabs>
        <w:ind w:left="643" w:hanging="360"/>
      </w:pPr>
    </w:lvl>
  </w:abstractNum>
  <w:abstractNum w:abstractNumId="4">
    <w:nsid w:val="FFFFFF80"/>
    <w:multiLevelType w:val="singleLevel"/>
    <w:tmpl w:val="8E3E6636"/>
    <w:lvl w:ilvl="0">
      <w:start w:val="1"/>
      <w:numFmt w:val="bullet"/>
      <w:pStyle w:val="Puntoelenco5"/>
      <w:lvlText w:val=""/>
      <w:lvlJc w:val="left"/>
      <w:pPr>
        <w:tabs>
          <w:tab w:val="num" w:pos="1492"/>
        </w:tabs>
        <w:ind w:left="1492" w:hanging="360"/>
      </w:pPr>
      <w:rPr>
        <w:rFonts w:ascii="Symbol" w:hAnsi="Symbol" w:hint="default"/>
      </w:rPr>
    </w:lvl>
  </w:abstractNum>
  <w:abstractNum w:abstractNumId="5">
    <w:nsid w:val="FFFFFF81"/>
    <w:multiLevelType w:val="singleLevel"/>
    <w:tmpl w:val="8BBE97B0"/>
    <w:lvl w:ilvl="0">
      <w:start w:val="1"/>
      <w:numFmt w:val="bullet"/>
      <w:pStyle w:val="Puntoelenco4"/>
      <w:lvlText w:val=""/>
      <w:lvlJc w:val="left"/>
      <w:pPr>
        <w:tabs>
          <w:tab w:val="num" w:pos="1209"/>
        </w:tabs>
        <w:ind w:left="1209" w:hanging="360"/>
      </w:pPr>
      <w:rPr>
        <w:rFonts w:ascii="Symbol" w:hAnsi="Symbol" w:hint="default"/>
      </w:rPr>
    </w:lvl>
  </w:abstractNum>
  <w:abstractNum w:abstractNumId="6">
    <w:nsid w:val="FFFFFF82"/>
    <w:multiLevelType w:val="singleLevel"/>
    <w:tmpl w:val="46C676FE"/>
    <w:lvl w:ilvl="0">
      <w:start w:val="1"/>
      <w:numFmt w:val="bullet"/>
      <w:pStyle w:val="Puntoelenco3"/>
      <w:lvlText w:val=""/>
      <w:lvlJc w:val="left"/>
      <w:pPr>
        <w:tabs>
          <w:tab w:val="num" w:pos="926"/>
        </w:tabs>
        <w:ind w:left="926" w:hanging="360"/>
      </w:pPr>
      <w:rPr>
        <w:rFonts w:ascii="Symbol" w:hAnsi="Symbol" w:hint="default"/>
      </w:rPr>
    </w:lvl>
  </w:abstractNum>
  <w:abstractNum w:abstractNumId="7">
    <w:nsid w:val="FFFFFF88"/>
    <w:multiLevelType w:val="singleLevel"/>
    <w:tmpl w:val="90CC8132"/>
    <w:lvl w:ilvl="0">
      <w:start w:val="1"/>
      <w:numFmt w:val="decimal"/>
      <w:pStyle w:val="Numeroelenco"/>
      <w:lvlText w:val="%1."/>
      <w:lvlJc w:val="left"/>
      <w:pPr>
        <w:tabs>
          <w:tab w:val="num" w:pos="360"/>
        </w:tabs>
        <w:ind w:left="360" w:hanging="360"/>
      </w:pPr>
    </w:lvl>
  </w:abstractNum>
  <w:abstractNum w:abstractNumId="8">
    <w:nsid w:val="FFFFFF89"/>
    <w:multiLevelType w:val="singleLevel"/>
    <w:tmpl w:val="C2BC4F48"/>
    <w:lvl w:ilvl="0">
      <w:start w:val="1"/>
      <w:numFmt w:val="bullet"/>
      <w:pStyle w:val="Puntoelenco"/>
      <w:lvlText w:val=""/>
      <w:lvlJc w:val="left"/>
      <w:pPr>
        <w:tabs>
          <w:tab w:val="num" w:pos="360"/>
        </w:tabs>
        <w:ind w:left="360" w:hanging="360"/>
      </w:pPr>
      <w:rPr>
        <w:rFonts w:ascii="Symbol" w:hAnsi="Symbol" w:hint="default"/>
      </w:rPr>
    </w:lvl>
  </w:abstractNum>
  <w:abstractNum w:abstractNumId="9">
    <w:nsid w:val="00000001"/>
    <w:multiLevelType w:val="singleLevel"/>
    <w:tmpl w:val="00000001"/>
    <w:name w:val="WW8Num2"/>
    <w:lvl w:ilvl="0">
      <w:start w:val="1"/>
      <w:numFmt w:val="bullet"/>
      <w:lvlText w:val=""/>
      <w:lvlJc w:val="left"/>
      <w:pPr>
        <w:tabs>
          <w:tab w:val="num" w:pos="480"/>
        </w:tabs>
        <w:ind w:left="480" w:hanging="120"/>
      </w:pPr>
      <w:rPr>
        <w:rFonts w:ascii="Symbol" w:hAnsi="Symbol"/>
        <w:color w:val="auto"/>
      </w:rPr>
    </w:lvl>
  </w:abstractNum>
  <w:abstractNum w:abstractNumId="10">
    <w:nsid w:val="00000002"/>
    <w:multiLevelType w:val="multilevel"/>
    <w:tmpl w:val="00000002"/>
    <w:name w:val="WW8Num6"/>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1">
    <w:nsid w:val="02BA5145"/>
    <w:multiLevelType w:val="hybridMultilevel"/>
    <w:tmpl w:val="DC983BA2"/>
    <w:lvl w:ilvl="0" w:tplc="A348A96A">
      <w:start w:val="1"/>
      <w:numFmt w:val="bullet"/>
      <w:lvlText w:val=""/>
      <w:lvlJc w:val="left"/>
      <w:pPr>
        <w:tabs>
          <w:tab w:val="num" w:pos="1428"/>
        </w:tabs>
        <w:ind w:left="1428" w:hanging="360"/>
      </w:pPr>
      <w:rPr>
        <w:rFonts w:ascii="Wingdings" w:hAnsi="Wingdings" w:hint="default"/>
      </w:rPr>
    </w:lvl>
    <w:lvl w:ilvl="1" w:tplc="04100001">
      <w:start w:val="1"/>
      <w:numFmt w:val="bullet"/>
      <w:lvlText w:val=""/>
      <w:lvlJc w:val="left"/>
      <w:pPr>
        <w:tabs>
          <w:tab w:val="num" w:pos="1440"/>
        </w:tabs>
        <w:ind w:left="1440" w:hanging="360"/>
      </w:pPr>
      <w:rPr>
        <w:rFonts w:ascii="Symbol" w:hAnsi="Symbo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064F2C2E"/>
    <w:multiLevelType w:val="hybridMultilevel"/>
    <w:tmpl w:val="450670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09D42939"/>
    <w:multiLevelType w:val="hybridMultilevel"/>
    <w:tmpl w:val="69DA66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138A3E18"/>
    <w:multiLevelType w:val="hybridMultilevel"/>
    <w:tmpl w:val="56A8F014"/>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1DB61095"/>
    <w:multiLevelType w:val="hybridMultilevel"/>
    <w:tmpl w:val="8C40EB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1E0A246D"/>
    <w:multiLevelType w:val="hybridMultilevel"/>
    <w:tmpl w:val="AB3EF964"/>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216A0907"/>
    <w:multiLevelType w:val="hybridMultilevel"/>
    <w:tmpl w:val="21FC44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29FD1999"/>
    <w:multiLevelType w:val="hybridMultilevel"/>
    <w:tmpl w:val="5AEEF36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305A2AAC"/>
    <w:multiLevelType w:val="hybridMultilevel"/>
    <w:tmpl w:val="60EA465C"/>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0">
    <w:nsid w:val="38345220"/>
    <w:multiLevelType w:val="hybridMultilevel"/>
    <w:tmpl w:val="A17EE8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3A5C0FE2"/>
    <w:multiLevelType w:val="hybridMultilevel"/>
    <w:tmpl w:val="3280A904"/>
    <w:lvl w:ilvl="0" w:tplc="0A6C22EC">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48FC417B"/>
    <w:multiLevelType w:val="singleLevel"/>
    <w:tmpl w:val="0124397C"/>
    <w:lvl w:ilvl="0">
      <w:numFmt w:val="bullet"/>
      <w:pStyle w:val="Puntoelenco2"/>
      <w:lvlText w:val=""/>
      <w:lvlJc w:val="left"/>
      <w:pPr>
        <w:tabs>
          <w:tab w:val="num" w:pos="360"/>
        </w:tabs>
        <w:ind w:left="340" w:hanging="340"/>
      </w:pPr>
      <w:rPr>
        <w:rFonts w:ascii="Symbol" w:hAnsi="Symbol" w:hint="default"/>
      </w:rPr>
    </w:lvl>
  </w:abstractNum>
  <w:abstractNum w:abstractNumId="23">
    <w:nsid w:val="4ECD4AF1"/>
    <w:multiLevelType w:val="hybridMultilevel"/>
    <w:tmpl w:val="8C6A256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509F206F"/>
    <w:multiLevelType w:val="hybridMultilevel"/>
    <w:tmpl w:val="D55223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55056753"/>
    <w:multiLevelType w:val="hybridMultilevel"/>
    <w:tmpl w:val="5EF8D9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59AA21A4"/>
    <w:multiLevelType w:val="hybridMultilevel"/>
    <w:tmpl w:val="D98EAD12"/>
    <w:lvl w:ilvl="0" w:tplc="1F0A339A">
      <w:start w:val="1"/>
      <w:numFmt w:val="bullet"/>
      <w:pStyle w:val="nota"/>
      <w:lvlText w:val=""/>
      <w:lvlJc w:val="left"/>
      <w:pPr>
        <w:tabs>
          <w:tab w:val="num" w:pos="1026"/>
        </w:tabs>
        <w:ind w:left="480" w:hanging="12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66F75D53"/>
    <w:multiLevelType w:val="hybridMultilevel"/>
    <w:tmpl w:val="1946F8DC"/>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8">
    <w:nsid w:val="6C1F1EED"/>
    <w:multiLevelType w:val="hybridMultilevel"/>
    <w:tmpl w:val="3438AE6E"/>
    <w:lvl w:ilvl="0" w:tplc="FF027C0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7906359F"/>
    <w:multiLevelType w:val="hybridMultilevel"/>
    <w:tmpl w:val="4028C34A"/>
    <w:lvl w:ilvl="0" w:tplc="04100001">
      <w:start w:val="1"/>
      <w:numFmt w:val="bullet"/>
      <w:lvlText w:val=""/>
      <w:lvlJc w:val="left"/>
      <w:pPr>
        <w:ind w:left="720" w:hanging="360"/>
      </w:pPr>
      <w:rPr>
        <w:rFonts w:ascii="Symbol" w:hAnsi="Symbol" w:hint="default"/>
      </w:rPr>
    </w:lvl>
    <w:lvl w:ilvl="1" w:tplc="61AED49A">
      <w:start w:val="100"/>
      <w:numFmt w:val="bullet"/>
      <w:lvlText w:val="•"/>
      <w:lvlJc w:val="left"/>
      <w:pPr>
        <w:ind w:left="1785" w:hanging="705"/>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79F86496"/>
    <w:multiLevelType w:val="hybridMultilevel"/>
    <w:tmpl w:val="250C9F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7AB251F2"/>
    <w:multiLevelType w:val="hybridMultilevel"/>
    <w:tmpl w:val="E25433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7E0C6BA5"/>
    <w:multiLevelType w:val="hybridMultilevel"/>
    <w:tmpl w:val="BD724B7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2"/>
  </w:num>
  <w:num w:numId="2">
    <w:abstractNumId w:val="7"/>
  </w:num>
  <w:num w:numId="3">
    <w:abstractNumId w:val="3"/>
  </w:num>
  <w:num w:numId="4">
    <w:abstractNumId w:val="2"/>
  </w:num>
  <w:num w:numId="5">
    <w:abstractNumId w:val="1"/>
  </w:num>
  <w:num w:numId="6">
    <w:abstractNumId w:val="0"/>
  </w:num>
  <w:num w:numId="7">
    <w:abstractNumId w:val="8"/>
  </w:num>
  <w:num w:numId="8">
    <w:abstractNumId w:val="6"/>
  </w:num>
  <w:num w:numId="9">
    <w:abstractNumId w:val="5"/>
  </w:num>
  <w:num w:numId="10">
    <w:abstractNumId w:val="4"/>
  </w:num>
  <w:num w:numId="11">
    <w:abstractNumId w:val="26"/>
  </w:num>
  <w:num w:numId="12">
    <w:abstractNumId w:val="11"/>
  </w:num>
  <w:num w:numId="13">
    <w:abstractNumId w:val="25"/>
  </w:num>
  <w:num w:numId="14">
    <w:abstractNumId w:val="21"/>
  </w:num>
  <w:num w:numId="15">
    <w:abstractNumId w:val="28"/>
  </w:num>
  <w:num w:numId="16">
    <w:abstractNumId w:val="16"/>
  </w:num>
  <w:num w:numId="17">
    <w:abstractNumId w:val="13"/>
  </w:num>
  <w:num w:numId="18">
    <w:abstractNumId w:val="18"/>
  </w:num>
  <w:num w:numId="19">
    <w:abstractNumId w:val="27"/>
  </w:num>
  <w:num w:numId="20">
    <w:abstractNumId w:val="15"/>
  </w:num>
  <w:num w:numId="21">
    <w:abstractNumId w:val="12"/>
  </w:num>
  <w:num w:numId="22">
    <w:abstractNumId w:val="17"/>
  </w:num>
  <w:num w:numId="23">
    <w:abstractNumId w:val="32"/>
  </w:num>
  <w:num w:numId="24">
    <w:abstractNumId w:val="23"/>
  </w:num>
  <w:num w:numId="25">
    <w:abstractNumId w:val="31"/>
  </w:num>
  <w:num w:numId="26">
    <w:abstractNumId w:val="19"/>
  </w:num>
  <w:num w:numId="27">
    <w:abstractNumId w:val="30"/>
  </w:num>
  <w:num w:numId="28">
    <w:abstractNumId w:val="14"/>
  </w:num>
  <w:num w:numId="29">
    <w:abstractNumId w:val="20"/>
  </w:num>
  <w:num w:numId="30">
    <w:abstractNumId w:val="29"/>
  </w:num>
  <w:num w:numId="31">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activeWritingStyle w:appName="MSWord" w:lang="it-IT" w:vendorID="3" w:dllVersion="517"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284"/>
  <w:doNotHyphenateCaps/>
  <w:displayHorizontalDrawingGridEvery w:val="0"/>
  <w:displayVerticalDrawingGridEvery w:val="0"/>
  <w:doNotUseMarginsForDrawingGridOrigin/>
  <w:noPunctuationKerning/>
  <w:characterSpacingControl w:val="doNotCompress"/>
  <w:hdrShapeDefaults>
    <o:shapedefaults v:ext="edit" spidmax="18433"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4DD"/>
    <w:rsid w:val="00000DC2"/>
    <w:rsid w:val="00001F9E"/>
    <w:rsid w:val="00003203"/>
    <w:rsid w:val="00003B40"/>
    <w:rsid w:val="00003C6F"/>
    <w:rsid w:val="00003DFD"/>
    <w:rsid w:val="000041CC"/>
    <w:rsid w:val="00004FE6"/>
    <w:rsid w:val="00005A6F"/>
    <w:rsid w:val="000063EA"/>
    <w:rsid w:val="00006851"/>
    <w:rsid w:val="00007018"/>
    <w:rsid w:val="0000723F"/>
    <w:rsid w:val="000074E0"/>
    <w:rsid w:val="0000770A"/>
    <w:rsid w:val="000114BB"/>
    <w:rsid w:val="000116F3"/>
    <w:rsid w:val="00013566"/>
    <w:rsid w:val="00013617"/>
    <w:rsid w:val="00013697"/>
    <w:rsid w:val="000149A5"/>
    <w:rsid w:val="000149D1"/>
    <w:rsid w:val="00015229"/>
    <w:rsid w:val="000165D2"/>
    <w:rsid w:val="0001661E"/>
    <w:rsid w:val="000169DF"/>
    <w:rsid w:val="00017ABC"/>
    <w:rsid w:val="00020740"/>
    <w:rsid w:val="00021964"/>
    <w:rsid w:val="00022A8A"/>
    <w:rsid w:val="00023080"/>
    <w:rsid w:val="000237D4"/>
    <w:rsid w:val="00023C5F"/>
    <w:rsid w:val="000253BF"/>
    <w:rsid w:val="0002550E"/>
    <w:rsid w:val="0002561C"/>
    <w:rsid w:val="00025F3A"/>
    <w:rsid w:val="00025FFD"/>
    <w:rsid w:val="0002603F"/>
    <w:rsid w:val="000261FE"/>
    <w:rsid w:val="00027ECD"/>
    <w:rsid w:val="00030187"/>
    <w:rsid w:val="00030F79"/>
    <w:rsid w:val="00031709"/>
    <w:rsid w:val="00031882"/>
    <w:rsid w:val="000326BA"/>
    <w:rsid w:val="000326BE"/>
    <w:rsid w:val="000331D1"/>
    <w:rsid w:val="00033B8E"/>
    <w:rsid w:val="00033BD0"/>
    <w:rsid w:val="0003400E"/>
    <w:rsid w:val="000341C5"/>
    <w:rsid w:val="0003453C"/>
    <w:rsid w:val="00034732"/>
    <w:rsid w:val="00034B12"/>
    <w:rsid w:val="00034F15"/>
    <w:rsid w:val="000366AE"/>
    <w:rsid w:val="00036C3B"/>
    <w:rsid w:val="00036FDA"/>
    <w:rsid w:val="000372C2"/>
    <w:rsid w:val="0003748B"/>
    <w:rsid w:val="0003797E"/>
    <w:rsid w:val="00037B21"/>
    <w:rsid w:val="0004038A"/>
    <w:rsid w:val="00040C85"/>
    <w:rsid w:val="00041B00"/>
    <w:rsid w:val="00041EB6"/>
    <w:rsid w:val="00043346"/>
    <w:rsid w:val="000434B4"/>
    <w:rsid w:val="0004378E"/>
    <w:rsid w:val="00045133"/>
    <w:rsid w:val="00045B44"/>
    <w:rsid w:val="00045DCD"/>
    <w:rsid w:val="000472E2"/>
    <w:rsid w:val="000477A8"/>
    <w:rsid w:val="00050E26"/>
    <w:rsid w:val="00051107"/>
    <w:rsid w:val="00052832"/>
    <w:rsid w:val="000528C9"/>
    <w:rsid w:val="0005341C"/>
    <w:rsid w:val="000534EB"/>
    <w:rsid w:val="0005488C"/>
    <w:rsid w:val="00054C33"/>
    <w:rsid w:val="00054E93"/>
    <w:rsid w:val="00055BDA"/>
    <w:rsid w:val="0005747D"/>
    <w:rsid w:val="000578A6"/>
    <w:rsid w:val="00057DBF"/>
    <w:rsid w:val="000616E3"/>
    <w:rsid w:val="000639C4"/>
    <w:rsid w:val="00065122"/>
    <w:rsid w:val="00065688"/>
    <w:rsid w:val="00065A69"/>
    <w:rsid w:val="00065AE8"/>
    <w:rsid w:val="00066CDC"/>
    <w:rsid w:val="000670D3"/>
    <w:rsid w:val="00067C67"/>
    <w:rsid w:val="00071159"/>
    <w:rsid w:val="00071C99"/>
    <w:rsid w:val="000742EB"/>
    <w:rsid w:val="0007433A"/>
    <w:rsid w:val="00074FA2"/>
    <w:rsid w:val="0007563C"/>
    <w:rsid w:val="00075696"/>
    <w:rsid w:val="00076B51"/>
    <w:rsid w:val="00076C97"/>
    <w:rsid w:val="00076CE7"/>
    <w:rsid w:val="00077191"/>
    <w:rsid w:val="000805F1"/>
    <w:rsid w:val="000819AF"/>
    <w:rsid w:val="00082DA2"/>
    <w:rsid w:val="00082DB0"/>
    <w:rsid w:val="00082ED0"/>
    <w:rsid w:val="00083022"/>
    <w:rsid w:val="00083813"/>
    <w:rsid w:val="00083906"/>
    <w:rsid w:val="00083DD8"/>
    <w:rsid w:val="000843F4"/>
    <w:rsid w:val="00086AF9"/>
    <w:rsid w:val="00086FC9"/>
    <w:rsid w:val="000874FE"/>
    <w:rsid w:val="00087801"/>
    <w:rsid w:val="000902BC"/>
    <w:rsid w:val="00090350"/>
    <w:rsid w:val="00091ED3"/>
    <w:rsid w:val="00093185"/>
    <w:rsid w:val="0009458E"/>
    <w:rsid w:val="00094E49"/>
    <w:rsid w:val="00095399"/>
    <w:rsid w:val="000963E1"/>
    <w:rsid w:val="00096983"/>
    <w:rsid w:val="0009786B"/>
    <w:rsid w:val="00097CCC"/>
    <w:rsid w:val="000A0096"/>
    <w:rsid w:val="000A0438"/>
    <w:rsid w:val="000A1C7B"/>
    <w:rsid w:val="000A2A75"/>
    <w:rsid w:val="000A2E6D"/>
    <w:rsid w:val="000A33C3"/>
    <w:rsid w:val="000A5327"/>
    <w:rsid w:val="000A5533"/>
    <w:rsid w:val="000A6110"/>
    <w:rsid w:val="000A6B53"/>
    <w:rsid w:val="000A7767"/>
    <w:rsid w:val="000A79BA"/>
    <w:rsid w:val="000B0DAF"/>
    <w:rsid w:val="000B115E"/>
    <w:rsid w:val="000B30E4"/>
    <w:rsid w:val="000B3142"/>
    <w:rsid w:val="000B3508"/>
    <w:rsid w:val="000B46CF"/>
    <w:rsid w:val="000B4C42"/>
    <w:rsid w:val="000B6A6D"/>
    <w:rsid w:val="000B6E75"/>
    <w:rsid w:val="000B723F"/>
    <w:rsid w:val="000B7E03"/>
    <w:rsid w:val="000C04C7"/>
    <w:rsid w:val="000C0512"/>
    <w:rsid w:val="000C071A"/>
    <w:rsid w:val="000C1395"/>
    <w:rsid w:val="000C1797"/>
    <w:rsid w:val="000C1F76"/>
    <w:rsid w:val="000C239D"/>
    <w:rsid w:val="000C2629"/>
    <w:rsid w:val="000C2720"/>
    <w:rsid w:val="000C4C3F"/>
    <w:rsid w:val="000C5039"/>
    <w:rsid w:val="000C5042"/>
    <w:rsid w:val="000C5128"/>
    <w:rsid w:val="000C575A"/>
    <w:rsid w:val="000C5F64"/>
    <w:rsid w:val="000C6461"/>
    <w:rsid w:val="000C650C"/>
    <w:rsid w:val="000C7587"/>
    <w:rsid w:val="000D1AFC"/>
    <w:rsid w:val="000D1BFF"/>
    <w:rsid w:val="000D2308"/>
    <w:rsid w:val="000D242B"/>
    <w:rsid w:val="000D25CB"/>
    <w:rsid w:val="000D4986"/>
    <w:rsid w:val="000D5C05"/>
    <w:rsid w:val="000D6D7D"/>
    <w:rsid w:val="000D73A7"/>
    <w:rsid w:val="000D7697"/>
    <w:rsid w:val="000D787E"/>
    <w:rsid w:val="000D7D90"/>
    <w:rsid w:val="000D7FA5"/>
    <w:rsid w:val="000E0859"/>
    <w:rsid w:val="000E0E94"/>
    <w:rsid w:val="000E110D"/>
    <w:rsid w:val="000E17FA"/>
    <w:rsid w:val="000E185E"/>
    <w:rsid w:val="000E3364"/>
    <w:rsid w:val="000E3CA2"/>
    <w:rsid w:val="000E449D"/>
    <w:rsid w:val="000E4DEC"/>
    <w:rsid w:val="000E53A4"/>
    <w:rsid w:val="000E5D43"/>
    <w:rsid w:val="000E6D11"/>
    <w:rsid w:val="000F08F3"/>
    <w:rsid w:val="000F0E9B"/>
    <w:rsid w:val="000F109D"/>
    <w:rsid w:val="000F1BDC"/>
    <w:rsid w:val="000F1FE2"/>
    <w:rsid w:val="000F23E7"/>
    <w:rsid w:val="000F3F00"/>
    <w:rsid w:val="000F4F91"/>
    <w:rsid w:val="000F590A"/>
    <w:rsid w:val="000F5B8A"/>
    <w:rsid w:val="000F63FB"/>
    <w:rsid w:val="000F6BA9"/>
    <w:rsid w:val="000F6D5D"/>
    <w:rsid w:val="000F73D4"/>
    <w:rsid w:val="00100446"/>
    <w:rsid w:val="001020A1"/>
    <w:rsid w:val="00103031"/>
    <w:rsid w:val="00103F4F"/>
    <w:rsid w:val="001056CB"/>
    <w:rsid w:val="00106B5A"/>
    <w:rsid w:val="0010758E"/>
    <w:rsid w:val="00107DCE"/>
    <w:rsid w:val="00110510"/>
    <w:rsid w:val="00113001"/>
    <w:rsid w:val="0011372D"/>
    <w:rsid w:val="001137FD"/>
    <w:rsid w:val="001138CA"/>
    <w:rsid w:val="00113EF3"/>
    <w:rsid w:val="00114566"/>
    <w:rsid w:val="0011542D"/>
    <w:rsid w:val="00115988"/>
    <w:rsid w:val="0011697B"/>
    <w:rsid w:val="001207D7"/>
    <w:rsid w:val="00121714"/>
    <w:rsid w:val="00121D6F"/>
    <w:rsid w:val="00122104"/>
    <w:rsid w:val="00122261"/>
    <w:rsid w:val="00122272"/>
    <w:rsid w:val="00123EDE"/>
    <w:rsid w:val="001256FA"/>
    <w:rsid w:val="00125784"/>
    <w:rsid w:val="00125AE0"/>
    <w:rsid w:val="00125F55"/>
    <w:rsid w:val="0012668B"/>
    <w:rsid w:val="0012706D"/>
    <w:rsid w:val="0012735B"/>
    <w:rsid w:val="001275CC"/>
    <w:rsid w:val="00127AF5"/>
    <w:rsid w:val="0013050C"/>
    <w:rsid w:val="00132378"/>
    <w:rsid w:val="00132ED0"/>
    <w:rsid w:val="00133369"/>
    <w:rsid w:val="001338EE"/>
    <w:rsid w:val="001343B7"/>
    <w:rsid w:val="00134D3B"/>
    <w:rsid w:val="00135B4C"/>
    <w:rsid w:val="00136A48"/>
    <w:rsid w:val="00137EAC"/>
    <w:rsid w:val="001408C3"/>
    <w:rsid w:val="00141781"/>
    <w:rsid w:val="00141A12"/>
    <w:rsid w:val="00141FEE"/>
    <w:rsid w:val="0014231D"/>
    <w:rsid w:val="00143070"/>
    <w:rsid w:val="00143D28"/>
    <w:rsid w:val="0014551C"/>
    <w:rsid w:val="00145C25"/>
    <w:rsid w:val="00145EC2"/>
    <w:rsid w:val="00146A22"/>
    <w:rsid w:val="00146A57"/>
    <w:rsid w:val="001475EC"/>
    <w:rsid w:val="00150537"/>
    <w:rsid w:val="0015185B"/>
    <w:rsid w:val="00152762"/>
    <w:rsid w:val="001527C2"/>
    <w:rsid w:val="00153626"/>
    <w:rsid w:val="00154149"/>
    <w:rsid w:val="00154B94"/>
    <w:rsid w:val="00155291"/>
    <w:rsid w:val="001555D5"/>
    <w:rsid w:val="00156696"/>
    <w:rsid w:val="001567E2"/>
    <w:rsid w:val="001576A6"/>
    <w:rsid w:val="00161B51"/>
    <w:rsid w:val="00161FCC"/>
    <w:rsid w:val="00162106"/>
    <w:rsid w:val="00162D22"/>
    <w:rsid w:val="001644FB"/>
    <w:rsid w:val="00164DF1"/>
    <w:rsid w:val="0016518D"/>
    <w:rsid w:val="00165C7F"/>
    <w:rsid w:val="001662B2"/>
    <w:rsid w:val="001705DD"/>
    <w:rsid w:val="0017078F"/>
    <w:rsid w:val="00170BB3"/>
    <w:rsid w:val="00171AAF"/>
    <w:rsid w:val="00172E77"/>
    <w:rsid w:val="00172F69"/>
    <w:rsid w:val="00173431"/>
    <w:rsid w:val="001738AD"/>
    <w:rsid w:val="00173C7B"/>
    <w:rsid w:val="00173F83"/>
    <w:rsid w:val="00174B96"/>
    <w:rsid w:val="001754DE"/>
    <w:rsid w:val="00176E41"/>
    <w:rsid w:val="00177387"/>
    <w:rsid w:val="00177E5D"/>
    <w:rsid w:val="00181811"/>
    <w:rsid w:val="00182761"/>
    <w:rsid w:val="00182DB1"/>
    <w:rsid w:val="0018437E"/>
    <w:rsid w:val="00184F23"/>
    <w:rsid w:val="00185577"/>
    <w:rsid w:val="001865E7"/>
    <w:rsid w:val="00187156"/>
    <w:rsid w:val="001906BA"/>
    <w:rsid w:val="001909C5"/>
    <w:rsid w:val="00190A8B"/>
    <w:rsid w:val="00190D4C"/>
    <w:rsid w:val="0019266F"/>
    <w:rsid w:val="00194E12"/>
    <w:rsid w:val="00195891"/>
    <w:rsid w:val="00196E1B"/>
    <w:rsid w:val="00197BA0"/>
    <w:rsid w:val="001A0120"/>
    <w:rsid w:val="001A0DDC"/>
    <w:rsid w:val="001A2CB6"/>
    <w:rsid w:val="001A2FAD"/>
    <w:rsid w:val="001A4972"/>
    <w:rsid w:val="001A4B49"/>
    <w:rsid w:val="001A7EBD"/>
    <w:rsid w:val="001B0686"/>
    <w:rsid w:val="001B1452"/>
    <w:rsid w:val="001B19DD"/>
    <w:rsid w:val="001B2148"/>
    <w:rsid w:val="001B2454"/>
    <w:rsid w:val="001B299A"/>
    <w:rsid w:val="001B3DAA"/>
    <w:rsid w:val="001B495D"/>
    <w:rsid w:val="001B55DB"/>
    <w:rsid w:val="001B5EF0"/>
    <w:rsid w:val="001B613E"/>
    <w:rsid w:val="001B75FE"/>
    <w:rsid w:val="001B7C4B"/>
    <w:rsid w:val="001C203D"/>
    <w:rsid w:val="001C215A"/>
    <w:rsid w:val="001C29E9"/>
    <w:rsid w:val="001C38C4"/>
    <w:rsid w:val="001C39FF"/>
    <w:rsid w:val="001C4E2C"/>
    <w:rsid w:val="001C5E8A"/>
    <w:rsid w:val="001C693F"/>
    <w:rsid w:val="001C6DA5"/>
    <w:rsid w:val="001C6FD8"/>
    <w:rsid w:val="001C7B3F"/>
    <w:rsid w:val="001D0969"/>
    <w:rsid w:val="001D0CE4"/>
    <w:rsid w:val="001D1F30"/>
    <w:rsid w:val="001D222B"/>
    <w:rsid w:val="001D225A"/>
    <w:rsid w:val="001D3090"/>
    <w:rsid w:val="001D4212"/>
    <w:rsid w:val="001D53C1"/>
    <w:rsid w:val="001D7134"/>
    <w:rsid w:val="001D77C0"/>
    <w:rsid w:val="001D79A4"/>
    <w:rsid w:val="001E0799"/>
    <w:rsid w:val="001E1EE6"/>
    <w:rsid w:val="001E35DF"/>
    <w:rsid w:val="001E44DE"/>
    <w:rsid w:val="001E6506"/>
    <w:rsid w:val="001F0ADC"/>
    <w:rsid w:val="001F13A5"/>
    <w:rsid w:val="001F143C"/>
    <w:rsid w:val="001F1CE3"/>
    <w:rsid w:val="001F245F"/>
    <w:rsid w:val="001F3385"/>
    <w:rsid w:val="001F3959"/>
    <w:rsid w:val="001F397C"/>
    <w:rsid w:val="001F7019"/>
    <w:rsid w:val="002004EF"/>
    <w:rsid w:val="00202D24"/>
    <w:rsid w:val="0020413E"/>
    <w:rsid w:val="00204559"/>
    <w:rsid w:val="00205B71"/>
    <w:rsid w:val="0020660F"/>
    <w:rsid w:val="00206DEE"/>
    <w:rsid w:val="002073EA"/>
    <w:rsid w:val="00207F79"/>
    <w:rsid w:val="00212083"/>
    <w:rsid w:val="00212559"/>
    <w:rsid w:val="00212A2A"/>
    <w:rsid w:val="00212A64"/>
    <w:rsid w:val="00212BAB"/>
    <w:rsid w:val="00214498"/>
    <w:rsid w:val="002144CB"/>
    <w:rsid w:val="002158FF"/>
    <w:rsid w:val="002169B0"/>
    <w:rsid w:val="00216AA1"/>
    <w:rsid w:val="00216F37"/>
    <w:rsid w:val="002178EC"/>
    <w:rsid w:val="002205E9"/>
    <w:rsid w:val="00220A1A"/>
    <w:rsid w:val="002216B7"/>
    <w:rsid w:val="00221A26"/>
    <w:rsid w:val="00221B32"/>
    <w:rsid w:val="0022209D"/>
    <w:rsid w:val="002234AF"/>
    <w:rsid w:val="00223993"/>
    <w:rsid w:val="0022399E"/>
    <w:rsid w:val="00224312"/>
    <w:rsid w:val="00224747"/>
    <w:rsid w:val="00224FE5"/>
    <w:rsid w:val="00225B62"/>
    <w:rsid w:val="00226F5E"/>
    <w:rsid w:val="00227283"/>
    <w:rsid w:val="00227898"/>
    <w:rsid w:val="00227FEA"/>
    <w:rsid w:val="0023020A"/>
    <w:rsid w:val="00231FD4"/>
    <w:rsid w:val="00232F43"/>
    <w:rsid w:val="00234B94"/>
    <w:rsid w:val="00235529"/>
    <w:rsid w:val="00235827"/>
    <w:rsid w:val="002363FC"/>
    <w:rsid w:val="00237861"/>
    <w:rsid w:val="00237CA7"/>
    <w:rsid w:val="00240D12"/>
    <w:rsid w:val="002416CF"/>
    <w:rsid w:val="00242A3B"/>
    <w:rsid w:val="00243AC0"/>
    <w:rsid w:val="00243D17"/>
    <w:rsid w:val="0024482C"/>
    <w:rsid w:val="00244E07"/>
    <w:rsid w:val="002465ED"/>
    <w:rsid w:val="00246753"/>
    <w:rsid w:val="00246AA5"/>
    <w:rsid w:val="0025104B"/>
    <w:rsid w:val="00254D11"/>
    <w:rsid w:val="00254FE5"/>
    <w:rsid w:val="0025678D"/>
    <w:rsid w:val="00256DCA"/>
    <w:rsid w:val="00257339"/>
    <w:rsid w:val="0025797B"/>
    <w:rsid w:val="00257A4A"/>
    <w:rsid w:val="00260254"/>
    <w:rsid w:val="00260753"/>
    <w:rsid w:val="002619BA"/>
    <w:rsid w:val="00262D64"/>
    <w:rsid w:val="00264098"/>
    <w:rsid w:val="002662B4"/>
    <w:rsid w:val="002673B2"/>
    <w:rsid w:val="00267E92"/>
    <w:rsid w:val="00271545"/>
    <w:rsid w:val="00271858"/>
    <w:rsid w:val="00271C45"/>
    <w:rsid w:val="00272243"/>
    <w:rsid w:val="00273BEC"/>
    <w:rsid w:val="00274ADE"/>
    <w:rsid w:val="002757D6"/>
    <w:rsid w:val="0027685D"/>
    <w:rsid w:val="00276D49"/>
    <w:rsid w:val="0028079C"/>
    <w:rsid w:val="00280863"/>
    <w:rsid w:val="00280969"/>
    <w:rsid w:val="002811DF"/>
    <w:rsid w:val="00281B1F"/>
    <w:rsid w:val="00282697"/>
    <w:rsid w:val="00282B69"/>
    <w:rsid w:val="002834EA"/>
    <w:rsid w:val="00283555"/>
    <w:rsid w:val="00284DB3"/>
    <w:rsid w:val="0028520C"/>
    <w:rsid w:val="0028553D"/>
    <w:rsid w:val="002865D0"/>
    <w:rsid w:val="00286CB8"/>
    <w:rsid w:val="002872A5"/>
    <w:rsid w:val="0028737E"/>
    <w:rsid w:val="00287837"/>
    <w:rsid w:val="00292013"/>
    <w:rsid w:val="00292F29"/>
    <w:rsid w:val="00293027"/>
    <w:rsid w:val="00293361"/>
    <w:rsid w:val="002937A7"/>
    <w:rsid w:val="00294161"/>
    <w:rsid w:val="002941FB"/>
    <w:rsid w:val="00294AF0"/>
    <w:rsid w:val="00295A45"/>
    <w:rsid w:val="00295B6B"/>
    <w:rsid w:val="00296356"/>
    <w:rsid w:val="0029679E"/>
    <w:rsid w:val="002969EC"/>
    <w:rsid w:val="00296CB0"/>
    <w:rsid w:val="002A02FB"/>
    <w:rsid w:val="002A1852"/>
    <w:rsid w:val="002A1F10"/>
    <w:rsid w:val="002A64E6"/>
    <w:rsid w:val="002A7D20"/>
    <w:rsid w:val="002B02DB"/>
    <w:rsid w:val="002B0C8F"/>
    <w:rsid w:val="002B1185"/>
    <w:rsid w:val="002B3774"/>
    <w:rsid w:val="002B3A8E"/>
    <w:rsid w:val="002B46A9"/>
    <w:rsid w:val="002B4796"/>
    <w:rsid w:val="002B4BE9"/>
    <w:rsid w:val="002B5827"/>
    <w:rsid w:val="002B68EC"/>
    <w:rsid w:val="002B6981"/>
    <w:rsid w:val="002B6E67"/>
    <w:rsid w:val="002C16E1"/>
    <w:rsid w:val="002C1A95"/>
    <w:rsid w:val="002C339B"/>
    <w:rsid w:val="002C3888"/>
    <w:rsid w:val="002C3AA2"/>
    <w:rsid w:val="002C45FC"/>
    <w:rsid w:val="002C5825"/>
    <w:rsid w:val="002C5E29"/>
    <w:rsid w:val="002C6871"/>
    <w:rsid w:val="002C741E"/>
    <w:rsid w:val="002C7F47"/>
    <w:rsid w:val="002D0AAC"/>
    <w:rsid w:val="002D2017"/>
    <w:rsid w:val="002D4BDC"/>
    <w:rsid w:val="002D5D18"/>
    <w:rsid w:val="002D74E4"/>
    <w:rsid w:val="002E0948"/>
    <w:rsid w:val="002E30B7"/>
    <w:rsid w:val="002E3B23"/>
    <w:rsid w:val="002E3C36"/>
    <w:rsid w:val="002E4C28"/>
    <w:rsid w:val="002E653D"/>
    <w:rsid w:val="002E6603"/>
    <w:rsid w:val="002E7432"/>
    <w:rsid w:val="002E7FD4"/>
    <w:rsid w:val="002F04BC"/>
    <w:rsid w:val="002F158D"/>
    <w:rsid w:val="002F2275"/>
    <w:rsid w:val="002F2296"/>
    <w:rsid w:val="002F2BB5"/>
    <w:rsid w:val="002F360C"/>
    <w:rsid w:val="002F383E"/>
    <w:rsid w:val="002F403E"/>
    <w:rsid w:val="002F4DE6"/>
    <w:rsid w:val="002F549D"/>
    <w:rsid w:val="002F5E48"/>
    <w:rsid w:val="002F6083"/>
    <w:rsid w:val="002F7043"/>
    <w:rsid w:val="002F7BAA"/>
    <w:rsid w:val="003002B4"/>
    <w:rsid w:val="003009EF"/>
    <w:rsid w:val="003015B4"/>
    <w:rsid w:val="0030229C"/>
    <w:rsid w:val="0030576E"/>
    <w:rsid w:val="00305779"/>
    <w:rsid w:val="003062C8"/>
    <w:rsid w:val="00306B1F"/>
    <w:rsid w:val="0030781E"/>
    <w:rsid w:val="003101E6"/>
    <w:rsid w:val="0031041D"/>
    <w:rsid w:val="0031093B"/>
    <w:rsid w:val="00310A8C"/>
    <w:rsid w:val="00311899"/>
    <w:rsid w:val="0031288C"/>
    <w:rsid w:val="00313251"/>
    <w:rsid w:val="00314A2E"/>
    <w:rsid w:val="00316896"/>
    <w:rsid w:val="00316D8C"/>
    <w:rsid w:val="00317EA6"/>
    <w:rsid w:val="003206DA"/>
    <w:rsid w:val="00321036"/>
    <w:rsid w:val="003210FE"/>
    <w:rsid w:val="003211E5"/>
    <w:rsid w:val="00321BB4"/>
    <w:rsid w:val="00321E3A"/>
    <w:rsid w:val="0032278C"/>
    <w:rsid w:val="0032327E"/>
    <w:rsid w:val="003232FD"/>
    <w:rsid w:val="00323FFC"/>
    <w:rsid w:val="00324429"/>
    <w:rsid w:val="0032458E"/>
    <w:rsid w:val="00324D20"/>
    <w:rsid w:val="00325991"/>
    <w:rsid w:val="003261B7"/>
    <w:rsid w:val="003264BA"/>
    <w:rsid w:val="0032688D"/>
    <w:rsid w:val="00326B4D"/>
    <w:rsid w:val="00327134"/>
    <w:rsid w:val="0033013A"/>
    <w:rsid w:val="00330C36"/>
    <w:rsid w:val="00330C89"/>
    <w:rsid w:val="0033101C"/>
    <w:rsid w:val="003320D1"/>
    <w:rsid w:val="00332D23"/>
    <w:rsid w:val="00332E5F"/>
    <w:rsid w:val="00333513"/>
    <w:rsid w:val="00333A80"/>
    <w:rsid w:val="00333B86"/>
    <w:rsid w:val="00333D9A"/>
    <w:rsid w:val="00336EF3"/>
    <w:rsid w:val="00337071"/>
    <w:rsid w:val="003376BE"/>
    <w:rsid w:val="00341659"/>
    <w:rsid w:val="00341A6C"/>
    <w:rsid w:val="00343673"/>
    <w:rsid w:val="00343747"/>
    <w:rsid w:val="0034586D"/>
    <w:rsid w:val="0034677D"/>
    <w:rsid w:val="00347FD9"/>
    <w:rsid w:val="0035048A"/>
    <w:rsid w:val="003505E8"/>
    <w:rsid w:val="00350833"/>
    <w:rsid w:val="0035150D"/>
    <w:rsid w:val="00351F9D"/>
    <w:rsid w:val="003528A1"/>
    <w:rsid w:val="00353BFF"/>
    <w:rsid w:val="003555BB"/>
    <w:rsid w:val="0035595B"/>
    <w:rsid w:val="00355C2E"/>
    <w:rsid w:val="003574AD"/>
    <w:rsid w:val="00357EDD"/>
    <w:rsid w:val="00361D18"/>
    <w:rsid w:val="00362AED"/>
    <w:rsid w:val="00362BAD"/>
    <w:rsid w:val="00362DB4"/>
    <w:rsid w:val="003637EC"/>
    <w:rsid w:val="00363CA0"/>
    <w:rsid w:val="0036431F"/>
    <w:rsid w:val="003654AF"/>
    <w:rsid w:val="00366DB1"/>
    <w:rsid w:val="00367311"/>
    <w:rsid w:val="00367A13"/>
    <w:rsid w:val="00370522"/>
    <w:rsid w:val="003712E8"/>
    <w:rsid w:val="003722DC"/>
    <w:rsid w:val="00375316"/>
    <w:rsid w:val="00375CF3"/>
    <w:rsid w:val="00376275"/>
    <w:rsid w:val="0037629D"/>
    <w:rsid w:val="003764B8"/>
    <w:rsid w:val="003774DF"/>
    <w:rsid w:val="003802DC"/>
    <w:rsid w:val="00380338"/>
    <w:rsid w:val="00380766"/>
    <w:rsid w:val="003818EE"/>
    <w:rsid w:val="003820A4"/>
    <w:rsid w:val="0038271A"/>
    <w:rsid w:val="003830CD"/>
    <w:rsid w:val="003832D7"/>
    <w:rsid w:val="00383A5F"/>
    <w:rsid w:val="00383E23"/>
    <w:rsid w:val="00383F05"/>
    <w:rsid w:val="00385AA2"/>
    <w:rsid w:val="00386AC9"/>
    <w:rsid w:val="00387975"/>
    <w:rsid w:val="003906D3"/>
    <w:rsid w:val="00390A70"/>
    <w:rsid w:val="003911CD"/>
    <w:rsid w:val="0039189D"/>
    <w:rsid w:val="003948F6"/>
    <w:rsid w:val="00394AA6"/>
    <w:rsid w:val="00395DFF"/>
    <w:rsid w:val="00397608"/>
    <w:rsid w:val="00397678"/>
    <w:rsid w:val="003A07AD"/>
    <w:rsid w:val="003A0D3A"/>
    <w:rsid w:val="003A10D7"/>
    <w:rsid w:val="003A25BF"/>
    <w:rsid w:val="003A273A"/>
    <w:rsid w:val="003A27E4"/>
    <w:rsid w:val="003A30E8"/>
    <w:rsid w:val="003A4289"/>
    <w:rsid w:val="003A4F8D"/>
    <w:rsid w:val="003A57B9"/>
    <w:rsid w:val="003A5864"/>
    <w:rsid w:val="003A69A5"/>
    <w:rsid w:val="003A7518"/>
    <w:rsid w:val="003A7A32"/>
    <w:rsid w:val="003B009E"/>
    <w:rsid w:val="003B08F9"/>
    <w:rsid w:val="003B0A0F"/>
    <w:rsid w:val="003B0DA0"/>
    <w:rsid w:val="003B109B"/>
    <w:rsid w:val="003B176B"/>
    <w:rsid w:val="003B2B16"/>
    <w:rsid w:val="003B4188"/>
    <w:rsid w:val="003B456A"/>
    <w:rsid w:val="003B5882"/>
    <w:rsid w:val="003B60FD"/>
    <w:rsid w:val="003B63D1"/>
    <w:rsid w:val="003B694B"/>
    <w:rsid w:val="003B6AB6"/>
    <w:rsid w:val="003B6D59"/>
    <w:rsid w:val="003B6EEB"/>
    <w:rsid w:val="003B7EE4"/>
    <w:rsid w:val="003C193B"/>
    <w:rsid w:val="003C193C"/>
    <w:rsid w:val="003C26E3"/>
    <w:rsid w:val="003C2DA3"/>
    <w:rsid w:val="003C34C9"/>
    <w:rsid w:val="003C54FD"/>
    <w:rsid w:val="003C5AE9"/>
    <w:rsid w:val="003C63A9"/>
    <w:rsid w:val="003C7430"/>
    <w:rsid w:val="003D1180"/>
    <w:rsid w:val="003D169D"/>
    <w:rsid w:val="003D1BA5"/>
    <w:rsid w:val="003D2711"/>
    <w:rsid w:val="003D2AE0"/>
    <w:rsid w:val="003D314F"/>
    <w:rsid w:val="003D32B3"/>
    <w:rsid w:val="003D36ED"/>
    <w:rsid w:val="003D3A44"/>
    <w:rsid w:val="003D7BD6"/>
    <w:rsid w:val="003E0002"/>
    <w:rsid w:val="003E1D09"/>
    <w:rsid w:val="003E238F"/>
    <w:rsid w:val="003E2B9F"/>
    <w:rsid w:val="003E2F0E"/>
    <w:rsid w:val="003E3C82"/>
    <w:rsid w:val="003E4063"/>
    <w:rsid w:val="003E433A"/>
    <w:rsid w:val="003E49DB"/>
    <w:rsid w:val="003E546E"/>
    <w:rsid w:val="003E68E1"/>
    <w:rsid w:val="003F0981"/>
    <w:rsid w:val="003F1158"/>
    <w:rsid w:val="003F12AB"/>
    <w:rsid w:val="003F1D80"/>
    <w:rsid w:val="003F2FE2"/>
    <w:rsid w:val="003F477B"/>
    <w:rsid w:val="003F49A1"/>
    <w:rsid w:val="003F52C6"/>
    <w:rsid w:val="003F643F"/>
    <w:rsid w:val="003F752F"/>
    <w:rsid w:val="003F77D6"/>
    <w:rsid w:val="003F7816"/>
    <w:rsid w:val="004001C6"/>
    <w:rsid w:val="00400821"/>
    <w:rsid w:val="004013E9"/>
    <w:rsid w:val="00401FCA"/>
    <w:rsid w:val="0040210A"/>
    <w:rsid w:val="00403F79"/>
    <w:rsid w:val="00403F90"/>
    <w:rsid w:val="00404501"/>
    <w:rsid w:val="00404818"/>
    <w:rsid w:val="0040520D"/>
    <w:rsid w:val="0040580A"/>
    <w:rsid w:val="004058BD"/>
    <w:rsid w:val="0040624C"/>
    <w:rsid w:val="0040687F"/>
    <w:rsid w:val="00406B1C"/>
    <w:rsid w:val="004102A1"/>
    <w:rsid w:val="00410CAA"/>
    <w:rsid w:val="0041139F"/>
    <w:rsid w:val="00411CCA"/>
    <w:rsid w:val="00411DF6"/>
    <w:rsid w:val="00413937"/>
    <w:rsid w:val="004149FF"/>
    <w:rsid w:val="0041573E"/>
    <w:rsid w:val="00417687"/>
    <w:rsid w:val="00417CD1"/>
    <w:rsid w:val="0042079E"/>
    <w:rsid w:val="00420B89"/>
    <w:rsid w:val="00420FDB"/>
    <w:rsid w:val="00421845"/>
    <w:rsid w:val="004219DA"/>
    <w:rsid w:val="00422277"/>
    <w:rsid w:val="00422A85"/>
    <w:rsid w:val="00422D86"/>
    <w:rsid w:val="004245FE"/>
    <w:rsid w:val="004258C5"/>
    <w:rsid w:val="00425BBE"/>
    <w:rsid w:val="00425E3E"/>
    <w:rsid w:val="00425EBF"/>
    <w:rsid w:val="00426107"/>
    <w:rsid w:val="004268A3"/>
    <w:rsid w:val="00426919"/>
    <w:rsid w:val="00426BF3"/>
    <w:rsid w:val="00427022"/>
    <w:rsid w:val="00427531"/>
    <w:rsid w:val="00427A67"/>
    <w:rsid w:val="00430DB7"/>
    <w:rsid w:val="00431B23"/>
    <w:rsid w:val="0043331B"/>
    <w:rsid w:val="004345EB"/>
    <w:rsid w:val="004350C8"/>
    <w:rsid w:val="00435946"/>
    <w:rsid w:val="00435CFA"/>
    <w:rsid w:val="00436011"/>
    <w:rsid w:val="00437A80"/>
    <w:rsid w:val="004403F0"/>
    <w:rsid w:val="004405D8"/>
    <w:rsid w:val="00440D56"/>
    <w:rsid w:val="0044166E"/>
    <w:rsid w:val="00442F5A"/>
    <w:rsid w:val="00444044"/>
    <w:rsid w:val="004445A2"/>
    <w:rsid w:val="004446B8"/>
    <w:rsid w:val="0044538F"/>
    <w:rsid w:val="00445B22"/>
    <w:rsid w:val="00445BB5"/>
    <w:rsid w:val="0045223D"/>
    <w:rsid w:val="00452895"/>
    <w:rsid w:val="00453EAC"/>
    <w:rsid w:val="004541C9"/>
    <w:rsid w:val="0045511F"/>
    <w:rsid w:val="004556D8"/>
    <w:rsid w:val="00455C3F"/>
    <w:rsid w:val="00455F3C"/>
    <w:rsid w:val="00456300"/>
    <w:rsid w:val="00457251"/>
    <w:rsid w:val="00462AD8"/>
    <w:rsid w:val="0046328E"/>
    <w:rsid w:val="0046410B"/>
    <w:rsid w:val="00466C57"/>
    <w:rsid w:val="00467963"/>
    <w:rsid w:val="00471B92"/>
    <w:rsid w:val="004721A7"/>
    <w:rsid w:val="004723AB"/>
    <w:rsid w:val="00472CE8"/>
    <w:rsid w:val="0047366C"/>
    <w:rsid w:val="004743CA"/>
    <w:rsid w:val="00476B2B"/>
    <w:rsid w:val="00476C3A"/>
    <w:rsid w:val="00477A72"/>
    <w:rsid w:val="00480BD5"/>
    <w:rsid w:val="0048193C"/>
    <w:rsid w:val="00484606"/>
    <w:rsid w:val="004861EB"/>
    <w:rsid w:val="00486446"/>
    <w:rsid w:val="00487152"/>
    <w:rsid w:val="00490136"/>
    <w:rsid w:val="00491BD6"/>
    <w:rsid w:val="00492B26"/>
    <w:rsid w:val="00493EDA"/>
    <w:rsid w:val="0049442B"/>
    <w:rsid w:val="0049465B"/>
    <w:rsid w:val="00495962"/>
    <w:rsid w:val="00495DF5"/>
    <w:rsid w:val="00496F7A"/>
    <w:rsid w:val="00497684"/>
    <w:rsid w:val="00497BDE"/>
    <w:rsid w:val="00497BF2"/>
    <w:rsid w:val="00497DCB"/>
    <w:rsid w:val="00497E36"/>
    <w:rsid w:val="00497F87"/>
    <w:rsid w:val="004A0090"/>
    <w:rsid w:val="004A04A4"/>
    <w:rsid w:val="004A0BED"/>
    <w:rsid w:val="004A228D"/>
    <w:rsid w:val="004A22E7"/>
    <w:rsid w:val="004A294D"/>
    <w:rsid w:val="004A3059"/>
    <w:rsid w:val="004A3A1B"/>
    <w:rsid w:val="004A3D70"/>
    <w:rsid w:val="004A3EAB"/>
    <w:rsid w:val="004A4F75"/>
    <w:rsid w:val="004A5117"/>
    <w:rsid w:val="004A6375"/>
    <w:rsid w:val="004A7B8B"/>
    <w:rsid w:val="004A7BFD"/>
    <w:rsid w:val="004B022F"/>
    <w:rsid w:val="004B06C8"/>
    <w:rsid w:val="004B1B2A"/>
    <w:rsid w:val="004B2B4E"/>
    <w:rsid w:val="004B3E70"/>
    <w:rsid w:val="004B4322"/>
    <w:rsid w:val="004B4358"/>
    <w:rsid w:val="004B4902"/>
    <w:rsid w:val="004B4DCB"/>
    <w:rsid w:val="004B5C61"/>
    <w:rsid w:val="004B5CAD"/>
    <w:rsid w:val="004B65DD"/>
    <w:rsid w:val="004B7E80"/>
    <w:rsid w:val="004C047F"/>
    <w:rsid w:val="004C0CE1"/>
    <w:rsid w:val="004C1382"/>
    <w:rsid w:val="004C2E9A"/>
    <w:rsid w:val="004C3E7C"/>
    <w:rsid w:val="004C4124"/>
    <w:rsid w:val="004C49C8"/>
    <w:rsid w:val="004C54ED"/>
    <w:rsid w:val="004C625B"/>
    <w:rsid w:val="004C6624"/>
    <w:rsid w:val="004C6C47"/>
    <w:rsid w:val="004C7216"/>
    <w:rsid w:val="004D0088"/>
    <w:rsid w:val="004D063A"/>
    <w:rsid w:val="004D09FD"/>
    <w:rsid w:val="004D0B62"/>
    <w:rsid w:val="004D0F1B"/>
    <w:rsid w:val="004D22FD"/>
    <w:rsid w:val="004D3F7C"/>
    <w:rsid w:val="004D46B7"/>
    <w:rsid w:val="004D49AB"/>
    <w:rsid w:val="004D4EF5"/>
    <w:rsid w:val="004D4FBC"/>
    <w:rsid w:val="004D64F3"/>
    <w:rsid w:val="004D6DF9"/>
    <w:rsid w:val="004D720B"/>
    <w:rsid w:val="004D7AD1"/>
    <w:rsid w:val="004E10CF"/>
    <w:rsid w:val="004E1DE7"/>
    <w:rsid w:val="004E224A"/>
    <w:rsid w:val="004E25A3"/>
    <w:rsid w:val="004E2A33"/>
    <w:rsid w:val="004E2D18"/>
    <w:rsid w:val="004E3BE7"/>
    <w:rsid w:val="004E3C77"/>
    <w:rsid w:val="004E3E15"/>
    <w:rsid w:val="004E4907"/>
    <w:rsid w:val="004E52D3"/>
    <w:rsid w:val="004E5F23"/>
    <w:rsid w:val="004E6683"/>
    <w:rsid w:val="004E6AF4"/>
    <w:rsid w:val="004E760A"/>
    <w:rsid w:val="004E7B1A"/>
    <w:rsid w:val="004E7E0F"/>
    <w:rsid w:val="004F07A9"/>
    <w:rsid w:val="004F2CE6"/>
    <w:rsid w:val="004F3082"/>
    <w:rsid w:val="004F3685"/>
    <w:rsid w:val="004F3A93"/>
    <w:rsid w:val="004F3B1D"/>
    <w:rsid w:val="004F3B71"/>
    <w:rsid w:val="004F3E5E"/>
    <w:rsid w:val="004F3EB1"/>
    <w:rsid w:val="004F470F"/>
    <w:rsid w:val="004F47BF"/>
    <w:rsid w:val="004F5050"/>
    <w:rsid w:val="004F5EFB"/>
    <w:rsid w:val="004F62D7"/>
    <w:rsid w:val="004F6795"/>
    <w:rsid w:val="0050092E"/>
    <w:rsid w:val="00502295"/>
    <w:rsid w:val="005035FF"/>
    <w:rsid w:val="00503658"/>
    <w:rsid w:val="00504F59"/>
    <w:rsid w:val="005057D8"/>
    <w:rsid w:val="00506CF7"/>
    <w:rsid w:val="005070BC"/>
    <w:rsid w:val="005071A9"/>
    <w:rsid w:val="00507B05"/>
    <w:rsid w:val="00510556"/>
    <w:rsid w:val="00511861"/>
    <w:rsid w:val="0051210F"/>
    <w:rsid w:val="005124B8"/>
    <w:rsid w:val="00512A6D"/>
    <w:rsid w:val="00513455"/>
    <w:rsid w:val="00513FD6"/>
    <w:rsid w:val="00514148"/>
    <w:rsid w:val="00514C74"/>
    <w:rsid w:val="005150FF"/>
    <w:rsid w:val="00515E5C"/>
    <w:rsid w:val="0051640C"/>
    <w:rsid w:val="005178FE"/>
    <w:rsid w:val="00520D99"/>
    <w:rsid w:val="00520E1B"/>
    <w:rsid w:val="00521734"/>
    <w:rsid w:val="00521BB6"/>
    <w:rsid w:val="00525356"/>
    <w:rsid w:val="005261C2"/>
    <w:rsid w:val="0052654D"/>
    <w:rsid w:val="00526B97"/>
    <w:rsid w:val="00527958"/>
    <w:rsid w:val="00530841"/>
    <w:rsid w:val="005324E0"/>
    <w:rsid w:val="0053275A"/>
    <w:rsid w:val="0053279C"/>
    <w:rsid w:val="005328CD"/>
    <w:rsid w:val="00532A16"/>
    <w:rsid w:val="00532AC6"/>
    <w:rsid w:val="00533076"/>
    <w:rsid w:val="0053331D"/>
    <w:rsid w:val="00533B5B"/>
    <w:rsid w:val="00534152"/>
    <w:rsid w:val="005346AB"/>
    <w:rsid w:val="00535066"/>
    <w:rsid w:val="005351B3"/>
    <w:rsid w:val="00536213"/>
    <w:rsid w:val="005363BD"/>
    <w:rsid w:val="00536707"/>
    <w:rsid w:val="0053688E"/>
    <w:rsid w:val="00536DF9"/>
    <w:rsid w:val="005373B8"/>
    <w:rsid w:val="00537891"/>
    <w:rsid w:val="00540766"/>
    <w:rsid w:val="00540916"/>
    <w:rsid w:val="00540E96"/>
    <w:rsid w:val="00541427"/>
    <w:rsid w:val="00541FF2"/>
    <w:rsid w:val="00542E8A"/>
    <w:rsid w:val="005430DB"/>
    <w:rsid w:val="005439F6"/>
    <w:rsid w:val="00543D1C"/>
    <w:rsid w:val="00544234"/>
    <w:rsid w:val="00545257"/>
    <w:rsid w:val="00545E3A"/>
    <w:rsid w:val="005464F7"/>
    <w:rsid w:val="00546E4A"/>
    <w:rsid w:val="00546ED1"/>
    <w:rsid w:val="00550291"/>
    <w:rsid w:val="005508DF"/>
    <w:rsid w:val="00550E01"/>
    <w:rsid w:val="00551ABE"/>
    <w:rsid w:val="00553CFC"/>
    <w:rsid w:val="00554216"/>
    <w:rsid w:val="005564B1"/>
    <w:rsid w:val="00556CED"/>
    <w:rsid w:val="00557021"/>
    <w:rsid w:val="005571DF"/>
    <w:rsid w:val="005602E4"/>
    <w:rsid w:val="00562C60"/>
    <w:rsid w:val="00562C7B"/>
    <w:rsid w:val="00562F9C"/>
    <w:rsid w:val="0056303C"/>
    <w:rsid w:val="0056320D"/>
    <w:rsid w:val="005633D1"/>
    <w:rsid w:val="0056412E"/>
    <w:rsid w:val="005643C5"/>
    <w:rsid w:val="0056474B"/>
    <w:rsid w:val="00564800"/>
    <w:rsid w:val="0056492A"/>
    <w:rsid w:val="00564B0C"/>
    <w:rsid w:val="00564C48"/>
    <w:rsid w:val="00564FAE"/>
    <w:rsid w:val="005658D1"/>
    <w:rsid w:val="00565A92"/>
    <w:rsid w:val="00565E5A"/>
    <w:rsid w:val="00565E8F"/>
    <w:rsid w:val="00566D6E"/>
    <w:rsid w:val="00567EA0"/>
    <w:rsid w:val="0057011C"/>
    <w:rsid w:val="005707BD"/>
    <w:rsid w:val="00574490"/>
    <w:rsid w:val="005744C3"/>
    <w:rsid w:val="00575308"/>
    <w:rsid w:val="00576A3B"/>
    <w:rsid w:val="005773F0"/>
    <w:rsid w:val="00577906"/>
    <w:rsid w:val="00577ADC"/>
    <w:rsid w:val="00577B47"/>
    <w:rsid w:val="00577EBA"/>
    <w:rsid w:val="00580F16"/>
    <w:rsid w:val="0058146E"/>
    <w:rsid w:val="00581EA6"/>
    <w:rsid w:val="00581ECD"/>
    <w:rsid w:val="00582113"/>
    <w:rsid w:val="00582F1A"/>
    <w:rsid w:val="00584C6A"/>
    <w:rsid w:val="00585278"/>
    <w:rsid w:val="00585306"/>
    <w:rsid w:val="00585D33"/>
    <w:rsid w:val="005865AD"/>
    <w:rsid w:val="0058669B"/>
    <w:rsid w:val="005868B2"/>
    <w:rsid w:val="005872B7"/>
    <w:rsid w:val="005874C3"/>
    <w:rsid w:val="005874DD"/>
    <w:rsid w:val="00590CA7"/>
    <w:rsid w:val="0059149C"/>
    <w:rsid w:val="00592298"/>
    <w:rsid w:val="00592B77"/>
    <w:rsid w:val="00592DB4"/>
    <w:rsid w:val="005935F1"/>
    <w:rsid w:val="00594CE8"/>
    <w:rsid w:val="00596EA1"/>
    <w:rsid w:val="00597359"/>
    <w:rsid w:val="005A18D2"/>
    <w:rsid w:val="005A1AB6"/>
    <w:rsid w:val="005A1AE9"/>
    <w:rsid w:val="005A1EB8"/>
    <w:rsid w:val="005A34AA"/>
    <w:rsid w:val="005A3A04"/>
    <w:rsid w:val="005A4D91"/>
    <w:rsid w:val="005A5217"/>
    <w:rsid w:val="005A59E6"/>
    <w:rsid w:val="005A5D46"/>
    <w:rsid w:val="005A5F30"/>
    <w:rsid w:val="005A6CF1"/>
    <w:rsid w:val="005A7541"/>
    <w:rsid w:val="005A78AB"/>
    <w:rsid w:val="005B04E9"/>
    <w:rsid w:val="005B2DFD"/>
    <w:rsid w:val="005B30A6"/>
    <w:rsid w:val="005B6A6E"/>
    <w:rsid w:val="005B721F"/>
    <w:rsid w:val="005B7E07"/>
    <w:rsid w:val="005C009E"/>
    <w:rsid w:val="005C0E67"/>
    <w:rsid w:val="005C1068"/>
    <w:rsid w:val="005C2825"/>
    <w:rsid w:val="005C31F0"/>
    <w:rsid w:val="005C370E"/>
    <w:rsid w:val="005C3CB5"/>
    <w:rsid w:val="005C47C7"/>
    <w:rsid w:val="005C521B"/>
    <w:rsid w:val="005C53D5"/>
    <w:rsid w:val="005C5C48"/>
    <w:rsid w:val="005C6443"/>
    <w:rsid w:val="005C6BF8"/>
    <w:rsid w:val="005C6D8D"/>
    <w:rsid w:val="005C761B"/>
    <w:rsid w:val="005D0885"/>
    <w:rsid w:val="005D0D56"/>
    <w:rsid w:val="005D17C6"/>
    <w:rsid w:val="005D18BF"/>
    <w:rsid w:val="005D1D88"/>
    <w:rsid w:val="005D1E84"/>
    <w:rsid w:val="005D20D5"/>
    <w:rsid w:val="005D26EF"/>
    <w:rsid w:val="005D342E"/>
    <w:rsid w:val="005D3B12"/>
    <w:rsid w:val="005D3BA8"/>
    <w:rsid w:val="005D3DC1"/>
    <w:rsid w:val="005D4495"/>
    <w:rsid w:val="005D4994"/>
    <w:rsid w:val="005D51D6"/>
    <w:rsid w:val="005D7113"/>
    <w:rsid w:val="005D7673"/>
    <w:rsid w:val="005E065A"/>
    <w:rsid w:val="005E065F"/>
    <w:rsid w:val="005E08F1"/>
    <w:rsid w:val="005E123F"/>
    <w:rsid w:val="005E1BC5"/>
    <w:rsid w:val="005E20B3"/>
    <w:rsid w:val="005E26C5"/>
    <w:rsid w:val="005E2873"/>
    <w:rsid w:val="005E2E19"/>
    <w:rsid w:val="005E2F37"/>
    <w:rsid w:val="005E3553"/>
    <w:rsid w:val="005E361E"/>
    <w:rsid w:val="005E382D"/>
    <w:rsid w:val="005E4344"/>
    <w:rsid w:val="005E4387"/>
    <w:rsid w:val="005E43F6"/>
    <w:rsid w:val="005E467B"/>
    <w:rsid w:val="005E4B16"/>
    <w:rsid w:val="005E56B1"/>
    <w:rsid w:val="005E603B"/>
    <w:rsid w:val="005E7050"/>
    <w:rsid w:val="005E7BD4"/>
    <w:rsid w:val="005F16B0"/>
    <w:rsid w:val="005F3864"/>
    <w:rsid w:val="005F4BBA"/>
    <w:rsid w:val="005F6784"/>
    <w:rsid w:val="005F7644"/>
    <w:rsid w:val="0060187E"/>
    <w:rsid w:val="00602078"/>
    <w:rsid w:val="00602147"/>
    <w:rsid w:val="00602900"/>
    <w:rsid w:val="006033EE"/>
    <w:rsid w:val="00604204"/>
    <w:rsid w:val="00606B69"/>
    <w:rsid w:val="006079AB"/>
    <w:rsid w:val="00607DF1"/>
    <w:rsid w:val="0061042B"/>
    <w:rsid w:val="00614B1B"/>
    <w:rsid w:val="00614B2F"/>
    <w:rsid w:val="00614CE7"/>
    <w:rsid w:val="00615230"/>
    <w:rsid w:val="00615E75"/>
    <w:rsid w:val="006178F5"/>
    <w:rsid w:val="00617C8C"/>
    <w:rsid w:val="00621117"/>
    <w:rsid w:val="00621447"/>
    <w:rsid w:val="00621BA4"/>
    <w:rsid w:val="0062289F"/>
    <w:rsid w:val="00622A59"/>
    <w:rsid w:val="00623AE7"/>
    <w:rsid w:val="00623F5E"/>
    <w:rsid w:val="00623FEA"/>
    <w:rsid w:val="006243AB"/>
    <w:rsid w:val="00624819"/>
    <w:rsid w:val="00624D0E"/>
    <w:rsid w:val="00626BBB"/>
    <w:rsid w:val="00626D68"/>
    <w:rsid w:val="00627C94"/>
    <w:rsid w:val="0063032C"/>
    <w:rsid w:val="006306AD"/>
    <w:rsid w:val="00632A74"/>
    <w:rsid w:val="0063381B"/>
    <w:rsid w:val="00634D6F"/>
    <w:rsid w:val="0063678B"/>
    <w:rsid w:val="00640DC1"/>
    <w:rsid w:val="00641C26"/>
    <w:rsid w:val="00641EDC"/>
    <w:rsid w:val="00643E03"/>
    <w:rsid w:val="006443FB"/>
    <w:rsid w:val="00645052"/>
    <w:rsid w:val="00645CA9"/>
    <w:rsid w:val="00645CFC"/>
    <w:rsid w:val="00647014"/>
    <w:rsid w:val="0065139B"/>
    <w:rsid w:val="00651EA7"/>
    <w:rsid w:val="00652C89"/>
    <w:rsid w:val="006536BB"/>
    <w:rsid w:val="0065407E"/>
    <w:rsid w:val="00654B40"/>
    <w:rsid w:val="00655079"/>
    <w:rsid w:val="00655DB9"/>
    <w:rsid w:val="00656328"/>
    <w:rsid w:val="00656F0D"/>
    <w:rsid w:val="00657D7B"/>
    <w:rsid w:val="00660EAF"/>
    <w:rsid w:val="00661F44"/>
    <w:rsid w:val="00662F2B"/>
    <w:rsid w:val="00663222"/>
    <w:rsid w:val="0066600C"/>
    <w:rsid w:val="0066614D"/>
    <w:rsid w:val="006665E5"/>
    <w:rsid w:val="0067049E"/>
    <w:rsid w:val="00670600"/>
    <w:rsid w:val="00671258"/>
    <w:rsid w:val="00672547"/>
    <w:rsid w:val="00672655"/>
    <w:rsid w:val="0067293C"/>
    <w:rsid w:val="00673318"/>
    <w:rsid w:val="00673754"/>
    <w:rsid w:val="006738D9"/>
    <w:rsid w:val="00673F5B"/>
    <w:rsid w:val="00674C65"/>
    <w:rsid w:val="00675327"/>
    <w:rsid w:val="00675565"/>
    <w:rsid w:val="006766F3"/>
    <w:rsid w:val="00677B09"/>
    <w:rsid w:val="00680196"/>
    <w:rsid w:val="00681E07"/>
    <w:rsid w:val="00681F97"/>
    <w:rsid w:val="00682636"/>
    <w:rsid w:val="0068275B"/>
    <w:rsid w:val="00683340"/>
    <w:rsid w:val="00683934"/>
    <w:rsid w:val="00684299"/>
    <w:rsid w:val="00684306"/>
    <w:rsid w:val="00684AA2"/>
    <w:rsid w:val="00685E96"/>
    <w:rsid w:val="006861F9"/>
    <w:rsid w:val="00686EDA"/>
    <w:rsid w:val="006870B6"/>
    <w:rsid w:val="00687222"/>
    <w:rsid w:val="00687736"/>
    <w:rsid w:val="00687B08"/>
    <w:rsid w:val="00690EFB"/>
    <w:rsid w:val="00691904"/>
    <w:rsid w:val="00691BDC"/>
    <w:rsid w:val="00693862"/>
    <w:rsid w:val="00693A8B"/>
    <w:rsid w:val="00694303"/>
    <w:rsid w:val="00694390"/>
    <w:rsid w:val="00694B42"/>
    <w:rsid w:val="00695AD7"/>
    <w:rsid w:val="006962C0"/>
    <w:rsid w:val="0069655F"/>
    <w:rsid w:val="00696830"/>
    <w:rsid w:val="006968D5"/>
    <w:rsid w:val="00697517"/>
    <w:rsid w:val="00697FC7"/>
    <w:rsid w:val="006A26FA"/>
    <w:rsid w:val="006A2E9D"/>
    <w:rsid w:val="006A3036"/>
    <w:rsid w:val="006A36EA"/>
    <w:rsid w:val="006A375E"/>
    <w:rsid w:val="006A38B0"/>
    <w:rsid w:val="006A410C"/>
    <w:rsid w:val="006A5D9D"/>
    <w:rsid w:val="006A6155"/>
    <w:rsid w:val="006A68E9"/>
    <w:rsid w:val="006B03EE"/>
    <w:rsid w:val="006B0B43"/>
    <w:rsid w:val="006B10F2"/>
    <w:rsid w:val="006B1655"/>
    <w:rsid w:val="006B20C7"/>
    <w:rsid w:val="006B29F9"/>
    <w:rsid w:val="006B45A6"/>
    <w:rsid w:val="006B53FF"/>
    <w:rsid w:val="006B5C71"/>
    <w:rsid w:val="006B6795"/>
    <w:rsid w:val="006B69A4"/>
    <w:rsid w:val="006C07F5"/>
    <w:rsid w:val="006C0C71"/>
    <w:rsid w:val="006C237A"/>
    <w:rsid w:val="006C269B"/>
    <w:rsid w:val="006C2780"/>
    <w:rsid w:val="006C3CB6"/>
    <w:rsid w:val="006C6406"/>
    <w:rsid w:val="006C6E63"/>
    <w:rsid w:val="006D124C"/>
    <w:rsid w:val="006D12FF"/>
    <w:rsid w:val="006D1345"/>
    <w:rsid w:val="006D15F2"/>
    <w:rsid w:val="006D1954"/>
    <w:rsid w:val="006D38B3"/>
    <w:rsid w:val="006D423D"/>
    <w:rsid w:val="006D427D"/>
    <w:rsid w:val="006D4317"/>
    <w:rsid w:val="006D533B"/>
    <w:rsid w:val="006D5B93"/>
    <w:rsid w:val="006D6367"/>
    <w:rsid w:val="006D6636"/>
    <w:rsid w:val="006D76F2"/>
    <w:rsid w:val="006E0D0C"/>
    <w:rsid w:val="006E0DB6"/>
    <w:rsid w:val="006E10CE"/>
    <w:rsid w:val="006E26B4"/>
    <w:rsid w:val="006E37BF"/>
    <w:rsid w:val="006E4579"/>
    <w:rsid w:val="006E4D4E"/>
    <w:rsid w:val="006E5390"/>
    <w:rsid w:val="006E5480"/>
    <w:rsid w:val="006E5492"/>
    <w:rsid w:val="006E5B1F"/>
    <w:rsid w:val="006E6AC5"/>
    <w:rsid w:val="006E7333"/>
    <w:rsid w:val="006E750C"/>
    <w:rsid w:val="006F0B19"/>
    <w:rsid w:val="006F1037"/>
    <w:rsid w:val="006F21EE"/>
    <w:rsid w:val="006F358B"/>
    <w:rsid w:val="006F36D3"/>
    <w:rsid w:val="006F3A88"/>
    <w:rsid w:val="006F6425"/>
    <w:rsid w:val="006F6CE2"/>
    <w:rsid w:val="006F6EB8"/>
    <w:rsid w:val="006F7BD2"/>
    <w:rsid w:val="00700779"/>
    <w:rsid w:val="00700F7A"/>
    <w:rsid w:val="007015BE"/>
    <w:rsid w:val="00701DFA"/>
    <w:rsid w:val="00701F0B"/>
    <w:rsid w:val="00703BFA"/>
    <w:rsid w:val="00704346"/>
    <w:rsid w:val="00704793"/>
    <w:rsid w:val="00704E85"/>
    <w:rsid w:val="007052AD"/>
    <w:rsid w:val="007058D2"/>
    <w:rsid w:val="00705B4E"/>
    <w:rsid w:val="00705E87"/>
    <w:rsid w:val="007116D5"/>
    <w:rsid w:val="00711AD4"/>
    <w:rsid w:val="00711C9C"/>
    <w:rsid w:val="00711F4E"/>
    <w:rsid w:val="007120CD"/>
    <w:rsid w:val="00712DFE"/>
    <w:rsid w:val="0071372A"/>
    <w:rsid w:val="007140AB"/>
    <w:rsid w:val="00714423"/>
    <w:rsid w:val="00714EA9"/>
    <w:rsid w:val="00714EC2"/>
    <w:rsid w:val="0071760B"/>
    <w:rsid w:val="0071789F"/>
    <w:rsid w:val="00717F67"/>
    <w:rsid w:val="00720102"/>
    <w:rsid w:val="00720556"/>
    <w:rsid w:val="00721431"/>
    <w:rsid w:val="007214C3"/>
    <w:rsid w:val="007217DE"/>
    <w:rsid w:val="00721CFD"/>
    <w:rsid w:val="0072283F"/>
    <w:rsid w:val="00725073"/>
    <w:rsid w:val="00726FC4"/>
    <w:rsid w:val="00726FFC"/>
    <w:rsid w:val="00730EEF"/>
    <w:rsid w:val="00730F9C"/>
    <w:rsid w:val="00731260"/>
    <w:rsid w:val="00731B18"/>
    <w:rsid w:val="007334DE"/>
    <w:rsid w:val="00733E8A"/>
    <w:rsid w:val="007350E1"/>
    <w:rsid w:val="00735315"/>
    <w:rsid w:val="00737427"/>
    <w:rsid w:val="00737B10"/>
    <w:rsid w:val="007408D6"/>
    <w:rsid w:val="00740A12"/>
    <w:rsid w:val="00741232"/>
    <w:rsid w:val="0074131D"/>
    <w:rsid w:val="00741741"/>
    <w:rsid w:val="007419F0"/>
    <w:rsid w:val="00741C8F"/>
    <w:rsid w:val="00742015"/>
    <w:rsid w:val="0074260A"/>
    <w:rsid w:val="007429BF"/>
    <w:rsid w:val="007433A7"/>
    <w:rsid w:val="007433D5"/>
    <w:rsid w:val="00743497"/>
    <w:rsid w:val="00743FF4"/>
    <w:rsid w:val="0074415F"/>
    <w:rsid w:val="0074560A"/>
    <w:rsid w:val="0074588B"/>
    <w:rsid w:val="00745C46"/>
    <w:rsid w:val="007460A8"/>
    <w:rsid w:val="007464F3"/>
    <w:rsid w:val="00750E4F"/>
    <w:rsid w:val="00752A4B"/>
    <w:rsid w:val="007551F7"/>
    <w:rsid w:val="00755203"/>
    <w:rsid w:val="00755BD2"/>
    <w:rsid w:val="00755E75"/>
    <w:rsid w:val="0075614C"/>
    <w:rsid w:val="00756A35"/>
    <w:rsid w:val="00756C0B"/>
    <w:rsid w:val="00757555"/>
    <w:rsid w:val="00760472"/>
    <w:rsid w:val="007607DA"/>
    <w:rsid w:val="007609E3"/>
    <w:rsid w:val="00761959"/>
    <w:rsid w:val="00761D23"/>
    <w:rsid w:val="007620D2"/>
    <w:rsid w:val="00762338"/>
    <w:rsid w:val="00762901"/>
    <w:rsid w:val="00762992"/>
    <w:rsid w:val="007648EA"/>
    <w:rsid w:val="00765144"/>
    <w:rsid w:val="0076658F"/>
    <w:rsid w:val="007665B8"/>
    <w:rsid w:val="0076671F"/>
    <w:rsid w:val="007674E5"/>
    <w:rsid w:val="00767877"/>
    <w:rsid w:val="00770C5F"/>
    <w:rsid w:val="00770D4D"/>
    <w:rsid w:val="007727CA"/>
    <w:rsid w:val="00773154"/>
    <w:rsid w:val="00773424"/>
    <w:rsid w:val="00774624"/>
    <w:rsid w:val="00776C02"/>
    <w:rsid w:val="0078082D"/>
    <w:rsid w:val="00780F7B"/>
    <w:rsid w:val="00781BB8"/>
    <w:rsid w:val="0078205B"/>
    <w:rsid w:val="007828AA"/>
    <w:rsid w:val="0078359B"/>
    <w:rsid w:val="0078397E"/>
    <w:rsid w:val="00783EA4"/>
    <w:rsid w:val="007847BA"/>
    <w:rsid w:val="00784E46"/>
    <w:rsid w:val="00785399"/>
    <w:rsid w:val="007853BB"/>
    <w:rsid w:val="00785569"/>
    <w:rsid w:val="00786C5D"/>
    <w:rsid w:val="00787BC2"/>
    <w:rsid w:val="007904B6"/>
    <w:rsid w:val="00790944"/>
    <w:rsid w:val="00791C67"/>
    <w:rsid w:val="0079203F"/>
    <w:rsid w:val="00792BDF"/>
    <w:rsid w:val="00792F42"/>
    <w:rsid w:val="00793813"/>
    <w:rsid w:val="007944B1"/>
    <w:rsid w:val="0079492D"/>
    <w:rsid w:val="00794D24"/>
    <w:rsid w:val="00795B2A"/>
    <w:rsid w:val="007967BE"/>
    <w:rsid w:val="00796ECB"/>
    <w:rsid w:val="00797F11"/>
    <w:rsid w:val="007A00C5"/>
    <w:rsid w:val="007A0C19"/>
    <w:rsid w:val="007A1A91"/>
    <w:rsid w:val="007A1F1E"/>
    <w:rsid w:val="007A23E9"/>
    <w:rsid w:val="007A413A"/>
    <w:rsid w:val="007A45B7"/>
    <w:rsid w:val="007A4A6B"/>
    <w:rsid w:val="007A4E9B"/>
    <w:rsid w:val="007A5B85"/>
    <w:rsid w:val="007A5DEC"/>
    <w:rsid w:val="007A6CA5"/>
    <w:rsid w:val="007A6CAB"/>
    <w:rsid w:val="007A715B"/>
    <w:rsid w:val="007A7A8A"/>
    <w:rsid w:val="007A7B92"/>
    <w:rsid w:val="007B05A3"/>
    <w:rsid w:val="007B08EC"/>
    <w:rsid w:val="007B0BE8"/>
    <w:rsid w:val="007B133E"/>
    <w:rsid w:val="007B3D90"/>
    <w:rsid w:val="007B42F4"/>
    <w:rsid w:val="007B5679"/>
    <w:rsid w:val="007B59B0"/>
    <w:rsid w:val="007B5D51"/>
    <w:rsid w:val="007B6BC9"/>
    <w:rsid w:val="007B7073"/>
    <w:rsid w:val="007B7939"/>
    <w:rsid w:val="007C0809"/>
    <w:rsid w:val="007C0EF4"/>
    <w:rsid w:val="007C12AF"/>
    <w:rsid w:val="007C146D"/>
    <w:rsid w:val="007C18B7"/>
    <w:rsid w:val="007C193D"/>
    <w:rsid w:val="007C1C87"/>
    <w:rsid w:val="007C22E2"/>
    <w:rsid w:val="007C3ED9"/>
    <w:rsid w:val="007C5314"/>
    <w:rsid w:val="007C54EA"/>
    <w:rsid w:val="007C5A57"/>
    <w:rsid w:val="007C5DDD"/>
    <w:rsid w:val="007C6BC8"/>
    <w:rsid w:val="007D075F"/>
    <w:rsid w:val="007D09D8"/>
    <w:rsid w:val="007D15D6"/>
    <w:rsid w:val="007D1878"/>
    <w:rsid w:val="007D1CD6"/>
    <w:rsid w:val="007D29AF"/>
    <w:rsid w:val="007D2CEE"/>
    <w:rsid w:val="007D4F21"/>
    <w:rsid w:val="007D568D"/>
    <w:rsid w:val="007D5BFC"/>
    <w:rsid w:val="007D6527"/>
    <w:rsid w:val="007D6CC1"/>
    <w:rsid w:val="007D6EAF"/>
    <w:rsid w:val="007D6F4B"/>
    <w:rsid w:val="007D7AD4"/>
    <w:rsid w:val="007E0A97"/>
    <w:rsid w:val="007E1043"/>
    <w:rsid w:val="007E138C"/>
    <w:rsid w:val="007E1616"/>
    <w:rsid w:val="007E1F5E"/>
    <w:rsid w:val="007E27C9"/>
    <w:rsid w:val="007E2C70"/>
    <w:rsid w:val="007E2DA4"/>
    <w:rsid w:val="007E3355"/>
    <w:rsid w:val="007E483B"/>
    <w:rsid w:val="007E4BD0"/>
    <w:rsid w:val="007E5065"/>
    <w:rsid w:val="007E56CC"/>
    <w:rsid w:val="007E5941"/>
    <w:rsid w:val="007E5BA4"/>
    <w:rsid w:val="007E5D80"/>
    <w:rsid w:val="007E6A00"/>
    <w:rsid w:val="007E7888"/>
    <w:rsid w:val="007E7EB2"/>
    <w:rsid w:val="007F045B"/>
    <w:rsid w:val="007F0C4F"/>
    <w:rsid w:val="007F115F"/>
    <w:rsid w:val="007F2710"/>
    <w:rsid w:val="007F2A38"/>
    <w:rsid w:val="007F451F"/>
    <w:rsid w:val="007F5D25"/>
    <w:rsid w:val="007F6D86"/>
    <w:rsid w:val="007F6F75"/>
    <w:rsid w:val="008008F2"/>
    <w:rsid w:val="0080145B"/>
    <w:rsid w:val="0080228E"/>
    <w:rsid w:val="00802A27"/>
    <w:rsid w:val="00803366"/>
    <w:rsid w:val="008035D2"/>
    <w:rsid w:val="008058B5"/>
    <w:rsid w:val="00806238"/>
    <w:rsid w:val="0080633B"/>
    <w:rsid w:val="0080711E"/>
    <w:rsid w:val="00807C10"/>
    <w:rsid w:val="00810FF8"/>
    <w:rsid w:val="00811340"/>
    <w:rsid w:val="008113D2"/>
    <w:rsid w:val="00813DAB"/>
    <w:rsid w:val="0081619D"/>
    <w:rsid w:val="00816567"/>
    <w:rsid w:val="00816A8D"/>
    <w:rsid w:val="00816D59"/>
    <w:rsid w:val="008203CA"/>
    <w:rsid w:val="00820B80"/>
    <w:rsid w:val="00820FB5"/>
    <w:rsid w:val="00820FD2"/>
    <w:rsid w:val="00821610"/>
    <w:rsid w:val="008217E3"/>
    <w:rsid w:val="00822925"/>
    <w:rsid w:val="0082622A"/>
    <w:rsid w:val="0082674D"/>
    <w:rsid w:val="00826C2E"/>
    <w:rsid w:val="00826F24"/>
    <w:rsid w:val="0082766F"/>
    <w:rsid w:val="00827C73"/>
    <w:rsid w:val="00827D9F"/>
    <w:rsid w:val="00830BB0"/>
    <w:rsid w:val="008316F9"/>
    <w:rsid w:val="008317D7"/>
    <w:rsid w:val="0083184E"/>
    <w:rsid w:val="0083206C"/>
    <w:rsid w:val="00832BCB"/>
    <w:rsid w:val="00833582"/>
    <w:rsid w:val="00834071"/>
    <w:rsid w:val="008343AC"/>
    <w:rsid w:val="00834A3C"/>
    <w:rsid w:val="008363D4"/>
    <w:rsid w:val="00836705"/>
    <w:rsid w:val="00837A89"/>
    <w:rsid w:val="008408C0"/>
    <w:rsid w:val="008412C4"/>
    <w:rsid w:val="00842E6A"/>
    <w:rsid w:val="00845A98"/>
    <w:rsid w:val="00846330"/>
    <w:rsid w:val="00846450"/>
    <w:rsid w:val="00846818"/>
    <w:rsid w:val="00846914"/>
    <w:rsid w:val="00846F2B"/>
    <w:rsid w:val="008506C3"/>
    <w:rsid w:val="00850E07"/>
    <w:rsid w:val="00851136"/>
    <w:rsid w:val="00852DC1"/>
    <w:rsid w:val="0085334F"/>
    <w:rsid w:val="008539A4"/>
    <w:rsid w:val="00853B49"/>
    <w:rsid w:val="00854321"/>
    <w:rsid w:val="0085439C"/>
    <w:rsid w:val="00854B0D"/>
    <w:rsid w:val="00854B38"/>
    <w:rsid w:val="008556B0"/>
    <w:rsid w:val="008572B1"/>
    <w:rsid w:val="0085796C"/>
    <w:rsid w:val="00857A1C"/>
    <w:rsid w:val="008604E1"/>
    <w:rsid w:val="00860B1F"/>
    <w:rsid w:val="00860EA2"/>
    <w:rsid w:val="00861F3A"/>
    <w:rsid w:val="0086210D"/>
    <w:rsid w:val="008636A2"/>
    <w:rsid w:val="00863BCC"/>
    <w:rsid w:val="008654B5"/>
    <w:rsid w:val="00865BBD"/>
    <w:rsid w:val="00865F85"/>
    <w:rsid w:val="0086625F"/>
    <w:rsid w:val="00866475"/>
    <w:rsid w:val="00866607"/>
    <w:rsid w:val="00867532"/>
    <w:rsid w:val="00867C7A"/>
    <w:rsid w:val="008705DC"/>
    <w:rsid w:val="008709E8"/>
    <w:rsid w:val="00870A85"/>
    <w:rsid w:val="0087206B"/>
    <w:rsid w:val="008725F6"/>
    <w:rsid w:val="00875944"/>
    <w:rsid w:val="008766D5"/>
    <w:rsid w:val="00876BA7"/>
    <w:rsid w:val="008772F7"/>
    <w:rsid w:val="0087730F"/>
    <w:rsid w:val="00877C0F"/>
    <w:rsid w:val="008803F4"/>
    <w:rsid w:val="00880B54"/>
    <w:rsid w:val="00880D68"/>
    <w:rsid w:val="00881202"/>
    <w:rsid w:val="008814F0"/>
    <w:rsid w:val="00881E9B"/>
    <w:rsid w:val="008820B2"/>
    <w:rsid w:val="008836D5"/>
    <w:rsid w:val="008837CC"/>
    <w:rsid w:val="00884E8A"/>
    <w:rsid w:val="008850C1"/>
    <w:rsid w:val="00885911"/>
    <w:rsid w:val="00886133"/>
    <w:rsid w:val="00886B16"/>
    <w:rsid w:val="00890246"/>
    <w:rsid w:val="00890288"/>
    <w:rsid w:val="00890330"/>
    <w:rsid w:val="008905D1"/>
    <w:rsid w:val="00890AA8"/>
    <w:rsid w:val="00891EC9"/>
    <w:rsid w:val="0089280D"/>
    <w:rsid w:val="008930B4"/>
    <w:rsid w:val="00893B43"/>
    <w:rsid w:val="00894113"/>
    <w:rsid w:val="00897069"/>
    <w:rsid w:val="008971AB"/>
    <w:rsid w:val="008975A6"/>
    <w:rsid w:val="008A040E"/>
    <w:rsid w:val="008A0726"/>
    <w:rsid w:val="008A0BCD"/>
    <w:rsid w:val="008A11F8"/>
    <w:rsid w:val="008A1BDE"/>
    <w:rsid w:val="008A3285"/>
    <w:rsid w:val="008A39F6"/>
    <w:rsid w:val="008A4059"/>
    <w:rsid w:val="008A50C7"/>
    <w:rsid w:val="008A6720"/>
    <w:rsid w:val="008A68EF"/>
    <w:rsid w:val="008A72B2"/>
    <w:rsid w:val="008A7633"/>
    <w:rsid w:val="008B02E9"/>
    <w:rsid w:val="008B0D34"/>
    <w:rsid w:val="008B153D"/>
    <w:rsid w:val="008B2393"/>
    <w:rsid w:val="008B2756"/>
    <w:rsid w:val="008B405E"/>
    <w:rsid w:val="008B45E1"/>
    <w:rsid w:val="008B475F"/>
    <w:rsid w:val="008B604A"/>
    <w:rsid w:val="008B6359"/>
    <w:rsid w:val="008B6B2D"/>
    <w:rsid w:val="008B726B"/>
    <w:rsid w:val="008C0CF7"/>
    <w:rsid w:val="008C3821"/>
    <w:rsid w:val="008C3EC2"/>
    <w:rsid w:val="008C4492"/>
    <w:rsid w:val="008C66F9"/>
    <w:rsid w:val="008C6C65"/>
    <w:rsid w:val="008C7271"/>
    <w:rsid w:val="008C7534"/>
    <w:rsid w:val="008D059E"/>
    <w:rsid w:val="008D2A29"/>
    <w:rsid w:val="008D3027"/>
    <w:rsid w:val="008D3188"/>
    <w:rsid w:val="008D33E1"/>
    <w:rsid w:val="008D39D3"/>
    <w:rsid w:val="008D470E"/>
    <w:rsid w:val="008D6095"/>
    <w:rsid w:val="008D626A"/>
    <w:rsid w:val="008D6B91"/>
    <w:rsid w:val="008D6C6E"/>
    <w:rsid w:val="008D6EE4"/>
    <w:rsid w:val="008D77EF"/>
    <w:rsid w:val="008D7B76"/>
    <w:rsid w:val="008D7DD1"/>
    <w:rsid w:val="008E0690"/>
    <w:rsid w:val="008E1025"/>
    <w:rsid w:val="008E13ED"/>
    <w:rsid w:val="008E2665"/>
    <w:rsid w:val="008E2924"/>
    <w:rsid w:val="008E2C74"/>
    <w:rsid w:val="008E31D9"/>
    <w:rsid w:val="008E53C5"/>
    <w:rsid w:val="008E558F"/>
    <w:rsid w:val="008E6913"/>
    <w:rsid w:val="008F0283"/>
    <w:rsid w:val="008F0CCB"/>
    <w:rsid w:val="008F1C93"/>
    <w:rsid w:val="008F2168"/>
    <w:rsid w:val="008F3A64"/>
    <w:rsid w:val="008F3C3E"/>
    <w:rsid w:val="008F3E7E"/>
    <w:rsid w:val="008F440C"/>
    <w:rsid w:val="008F501E"/>
    <w:rsid w:val="008F6368"/>
    <w:rsid w:val="008F714D"/>
    <w:rsid w:val="008F7E5E"/>
    <w:rsid w:val="00901183"/>
    <w:rsid w:val="0090131D"/>
    <w:rsid w:val="00902A88"/>
    <w:rsid w:val="00902D19"/>
    <w:rsid w:val="00902E6A"/>
    <w:rsid w:val="00903C5D"/>
    <w:rsid w:val="009056BF"/>
    <w:rsid w:val="009060CF"/>
    <w:rsid w:val="009066BF"/>
    <w:rsid w:val="0090683E"/>
    <w:rsid w:val="009069D4"/>
    <w:rsid w:val="0090749D"/>
    <w:rsid w:val="00910581"/>
    <w:rsid w:val="0091116C"/>
    <w:rsid w:val="00912B17"/>
    <w:rsid w:val="00913E08"/>
    <w:rsid w:val="00914914"/>
    <w:rsid w:val="00915C7A"/>
    <w:rsid w:val="00915E62"/>
    <w:rsid w:val="00916B49"/>
    <w:rsid w:val="0091710A"/>
    <w:rsid w:val="0092051D"/>
    <w:rsid w:val="0092116E"/>
    <w:rsid w:val="009217B9"/>
    <w:rsid w:val="0092232E"/>
    <w:rsid w:val="00923286"/>
    <w:rsid w:val="00923796"/>
    <w:rsid w:val="009239C2"/>
    <w:rsid w:val="009244BD"/>
    <w:rsid w:val="0092495B"/>
    <w:rsid w:val="00925AC0"/>
    <w:rsid w:val="00925D0D"/>
    <w:rsid w:val="00925EC2"/>
    <w:rsid w:val="00926715"/>
    <w:rsid w:val="00926B34"/>
    <w:rsid w:val="00926B50"/>
    <w:rsid w:val="009270B2"/>
    <w:rsid w:val="009277DA"/>
    <w:rsid w:val="009278D3"/>
    <w:rsid w:val="0093024F"/>
    <w:rsid w:val="0093063A"/>
    <w:rsid w:val="00930BD3"/>
    <w:rsid w:val="009313D3"/>
    <w:rsid w:val="009335BB"/>
    <w:rsid w:val="009342AA"/>
    <w:rsid w:val="00936588"/>
    <w:rsid w:val="009365FA"/>
    <w:rsid w:val="00940417"/>
    <w:rsid w:val="00941A4D"/>
    <w:rsid w:val="00941B2E"/>
    <w:rsid w:val="00941B36"/>
    <w:rsid w:val="0094229C"/>
    <w:rsid w:val="00943052"/>
    <w:rsid w:val="00943096"/>
    <w:rsid w:val="009431BC"/>
    <w:rsid w:val="0094348D"/>
    <w:rsid w:val="00944A7B"/>
    <w:rsid w:val="009453AF"/>
    <w:rsid w:val="009457C5"/>
    <w:rsid w:val="00946E5A"/>
    <w:rsid w:val="00947B41"/>
    <w:rsid w:val="00950B24"/>
    <w:rsid w:val="00952217"/>
    <w:rsid w:val="009525AD"/>
    <w:rsid w:val="0095289E"/>
    <w:rsid w:val="00952E21"/>
    <w:rsid w:val="00953B82"/>
    <w:rsid w:val="0095418D"/>
    <w:rsid w:val="00954F1C"/>
    <w:rsid w:val="00954F1D"/>
    <w:rsid w:val="00956044"/>
    <w:rsid w:val="0095609E"/>
    <w:rsid w:val="009566C2"/>
    <w:rsid w:val="00956719"/>
    <w:rsid w:val="009567DF"/>
    <w:rsid w:val="00956B3D"/>
    <w:rsid w:val="00957BE9"/>
    <w:rsid w:val="00957DBC"/>
    <w:rsid w:val="00961D24"/>
    <w:rsid w:val="00961FFB"/>
    <w:rsid w:val="009628F0"/>
    <w:rsid w:val="00963133"/>
    <w:rsid w:val="00963F1C"/>
    <w:rsid w:val="00964737"/>
    <w:rsid w:val="009665B0"/>
    <w:rsid w:val="009672B8"/>
    <w:rsid w:val="00967728"/>
    <w:rsid w:val="009677CB"/>
    <w:rsid w:val="009700AF"/>
    <w:rsid w:val="009720E2"/>
    <w:rsid w:val="0097362E"/>
    <w:rsid w:val="00974A81"/>
    <w:rsid w:val="0097553D"/>
    <w:rsid w:val="00975B3E"/>
    <w:rsid w:val="00975BC9"/>
    <w:rsid w:val="00980D39"/>
    <w:rsid w:val="009811C4"/>
    <w:rsid w:val="00982C11"/>
    <w:rsid w:val="00983D1C"/>
    <w:rsid w:val="00984049"/>
    <w:rsid w:val="00987883"/>
    <w:rsid w:val="00987A71"/>
    <w:rsid w:val="00990226"/>
    <w:rsid w:val="00990717"/>
    <w:rsid w:val="00990C93"/>
    <w:rsid w:val="00990D35"/>
    <w:rsid w:val="00991309"/>
    <w:rsid w:val="00992982"/>
    <w:rsid w:val="009935A5"/>
    <w:rsid w:val="00993BAB"/>
    <w:rsid w:val="009948D3"/>
    <w:rsid w:val="00994D0E"/>
    <w:rsid w:val="00994D88"/>
    <w:rsid w:val="009954B0"/>
    <w:rsid w:val="009959AC"/>
    <w:rsid w:val="009A112D"/>
    <w:rsid w:val="009A44D9"/>
    <w:rsid w:val="009A4651"/>
    <w:rsid w:val="009A49B9"/>
    <w:rsid w:val="009A4D5A"/>
    <w:rsid w:val="009A6945"/>
    <w:rsid w:val="009A6F16"/>
    <w:rsid w:val="009B198C"/>
    <w:rsid w:val="009B27F6"/>
    <w:rsid w:val="009B31FB"/>
    <w:rsid w:val="009B34BE"/>
    <w:rsid w:val="009B399F"/>
    <w:rsid w:val="009B3A09"/>
    <w:rsid w:val="009B50D6"/>
    <w:rsid w:val="009B54B9"/>
    <w:rsid w:val="009B6A6D"/>
    <w:rsid w:val="009B72F1"/>
    <w:rsid w:val="009C290E"/>
    <w:rsid w:val="009C3591"/>
    <w:rsid w:val="009C393E"/>
    <w:rsid w:val="009C3C50"/>
    <w:rsid w:val="009C40FE"/>
    <w:rsid w:val="009C476E"/>
    <w:rsid w:val="009C4EC5"/>
    <w:rsid w:val="009C6267"/>
    <w:rsid w:val="009C70B5"/>
    <w:rsid w:val="009C7907"/>
    <w:rsid w:val="009D0C29"/>
    <w:rsid w:val="009D188D"/>
    <w:rsid w:val="009D1FAA"/>
    <w:rsid w:val="009D20EC"/>
    <w:rsid w:val="009D3145"/>
    <w:rsid w:val="009D3422"/>
    <w:rsid w:val="009D4979"/>
    <w:rsid w:val="009D5E7A"/>
    <w:rsid w:val="009D5F60"/>
    <w:rsid w:val="009D6E8D"/>
    <w:rsid w:val="009E0964"/>
    <w:rsid w:val="009E0A19"/>
    <w:rsid w:val="009E0B47"/>
    <w:rsid w:val="009E0EF1"/>
    <w:rsid w:val="009E1136"/>
    <w:rsid w:val="009E1B13"/>
    <w:rsid w:val="009E1B16"/>
    <w:rsid w:val="009E271A"/>
    <w:rsid w:val="009E30D9"/>
    <w:rsid w:val="009E361D"/>
    <w:rsid w:val="009E44BB"/>
    <w:rsid w:val="009E4775"/>
    <w:rsid w:val="009E4880"/>
    <w:rsid w:val="009E6DE7"/>
    <w:rsid w:val="009E7335"/>
    <w:rsid w:val="009E7514"/>
    <w:rsid w:val="009E7708"/>
    <w:rsid w:val="009F0737"/>
    <w:rsid w:val="009F0868"/>
    <w:rsid w:val="009F0B3D"/>
    <w:rsid w:val="009F0D1D"/>
    <w:rsid w:val="009F1A2E"/>
    <w:rsid w:val="009F25B8"/>
    <w:rsid w:val="009F4554"/>
    <w:rsid w:val="009F4E26"/>
    <w:rsid w:val="009F599F"/>
    <w:rsid w:val="00A01FFA"/>
    <w:rsid w:val="00A02B19"/>
    <w:rsid w:val="00A02E08"/>
    <w:rsid w:val="00A02F2E"/>
    <w:rsid w:val="00A045A5"/>
    <w:rsid w:val="00A04785"/>
    <w:rsid w:val="00A050B4"/>
    <w:rsid w:val="00A0512C"/>
    <w:rsid w:val="00A053FB"/>
    <w:rsid w:val="00A05A96"/>
    <w:rsid w:val="00A06C95"/>
    <w:rsid w:val="00A07207"/>
    <w:rsid w:val="00A07515"/>
    <w:rsid w:val="00A100C9"/>
    <w:rsid w:val="00A11AED"/>
    <w:rsid w:val="00A11CD5"/>
    <w:rsid w:val="00A1338B"/>
    <w:rsid w:val="00A133C1"/>
    <w:rsid w:val="00A14A27"/>
    <w:rsid w:val="00A158A7"/>
    <w:rsid w:val="00A15CC1"/>
    <w:rsid w:val="00A15D52"/>
    <w:rsid w:val="00A16BCD"/>
    <w:rsid w:val="00A17F86"/>
    <w:rsid w:val="00A20329"/>
    <w:rsid w:val="00A205C1"/>
    <w:rsid w:val="00A2108C"/>
    <w:rsid w:val="00A219FE"/>
    <w:rsid w:val="00A21E9B"/>
    <w:rsid w:val="00A21FFE"/>
    <w:rsid w:val="00A226FF"/>
    <w:rsid w:val="00A2273C"/>
    <w:rsid w:val="00A22FAD"/>
    <w:rsid w:val="00A250FF"/>
    <w:rsid w:val="00A252AE"/>
    <w:rsid w:val="00A25D5D"/>
    <w:rsid w:val="00A26E42"/>
    <w:rsid w:val="00A312A9"/>
    <w:rsid w:val="00A3254F"/>
    <w:rsid w:val="00A32824"/>
    <w:rsid w:val="00A33715"/>
    <w:rsid w:val="00A33CA0"/>
    <w:rsid w:val="00A34D75"/>
    <w:rsid w:val="00A357BF"/>
    <w:rsid w:val="00A36652"/>
    <w:rsid w:val="00A36FF8"/>
    <w:rsid w:val="00A40024"/>
    <w:rsid w:val="00A400A4"/>
    <w:rsid w:val="00A40780"/>
    <w:rsid w:val="00A4157B"/>
    <w:rsid w:val="00A42481"/>
    <w:rsid w:val="00A42955"/>
    <w:rsid w:val="00A42D70"/>
    <w:rsid w:val="00A43367"/>
    <w:rsid w:val="00A4438D"/>
    <w:rsid w:val="00A448D0"/>
    <w:rsid w:val="00A467E7"/>
    <w:rsid w:val="00A47E4D"/>
    <w:rsid w:val="00A508A8"/>
    <w:rsid w:val="00A50CEC"/>
    <w:rsid w:val="00A50DF3"/>
    <w:rsid w:val="00A51441"/>
    <w:rsid w:val="00A52766"/>
    <w:rsid w:val="00A552C7"/>
    <w:rsid w:val="00A558AA"/>
    <w:rsid w:val="00A558D4"/>
    <w:rsid w:val="00A56454"/>
    <w:rsid w:val="00A568BC"/>
    <w:rsid w:val="00A57AFF"/>
    <w:rsid w:val="00A6047B"/>
    <w:rsid w:val="00A60CA4"/>
    <w:rsid w:val="00A6240B"/>
    <w:rsid w:val="00A6299D"/>
    <w:rsid w:val="00A6304E"/>
    <w:rsid w:val="00A630B1"/>
    <w:rsid w:val="00A639E6"/>
    <w:rsid w:val="00A6451D"/>
    <w:rsid w:val="00A64F04"/>
    <w:rsid w:val="00A65A61"/>
    <w:rsid w:val="00A65DA5"/>
    <w:rsid w:val="00A660DC"/>
    <w:rsid w:val="00A7035B"/>
    <w:rsid w:val="00A70626"/>
    <w:rsid w:val="00A72830"/>
    <w:rsid w:val="00A7328D"/>
    <w:rsid w:val="00A73CCF"/>
    <w:rsid w:val="00A74620"/>
    <w:rsid w:val="00A75100"/>
    <w:rsid w:val="00A7680C"/>
    <w:rsid w:val="00A7748C"/>
    <w:rsid w:val="00A77677"/>
    <w:rsid w:val="00A800F8"/>
    <w:rsid w:val="00A8110C"/>
    <w:rsid w:val="00A81596"/>
    <w:rsid w:val="00A81982"/>
    <w:rsid w:val="00A81B90"/>
    <w:rsid w:val="00A827C3"/>
    <w:rsid w:val="00A828AA"/>
    <w:rsid w:val="00A82E1A"/>
    <w:rsid w:val="00A83B69"/>
    <w:rsid w:val="00A83F45"/>
    <w:rsid w:val="00A841B5"/>
    <w:rsid w:val="00A8442D"/>
    <w:rsid w:val="00A84A1F"/>
    <w:rsid w:val="00A85BB2"/>
    <w:rsid w:val="00A86C89"/>
    <w:rsid w:val="00A877BA"/>
    <w:rsid w:val="00A9025A"/>
    <w:rsid w:val="00A90B9C"/>
    <w:rsid w:val="00A90D89"/>
    <w:rsid w:val="00A918F7"/>
    <w:rsid w:val="00A920DD"/>
    <w:rsid w:val="00A922A4"/>
    <w:rsid w:val="00A93677"/>
    <w:rsid w:val="00A93767"/>
    <w:rsid w:val="00A93B10"/>
    <w:rsid w:val="00A94460"/>
    <w:rsid w:val="00A9474B"/>
    <w:rsid w:val="00A948A9"/>
    <w:rsid w:val="00A953B8"/>
    <w:rsid w:val="00A95CF7"/>
    <w:rsid w:val="00A96974"/>
    <w:rsid w:val="00A96E6F"/>
    <w:rsid w:val="00A97FD5"/>
    <w:rsid w:val="00AA0EEA"/>
    <w:rsid w:val="00AA1248"/>
    <w:rsid w:val="00AA2062"/>
    <w:rsid w:val="00AA20D9"/>
    <w:rsid w:val="00AA2C9C"/>
    <w:rsid w:val="00AA3743"/>
    <w:rsid w:val="00AA3A1E"/>
    <w:rsid w:val="00AA3D58"/>
    <w:rsid w:val="00AA459B"/>
    <w:rsid w:val="00AA5332"/>
    <w:rsid w:val="00AA60D8"/>
    <w:rsid w:val="00AA626E"/>
    <w:rsid w:val="00AB0071"/>
    <w:rsid w:val="00AB180C"/>
    <w:rsid w:val="00AB24D0"/>
    <w:rsid w:val="00AB3939"/>
    <w:rsid w:val="00AB399D"/>
    <w:rsid w:val="00AB608A"/>
    <w:rsid w:val="00AB7AE7"/>
    <w:rsid w:val="00AC035B"/>
    <w:rsid w:val="00AC0373"/>
    <w:rsid w:val="00AC231D"/>
    <w:rsid w:val="00AC2F3A"/>
    <w:rsid w:val="00AC3012"/>
    <w:rsid w:val="00AC333C"/>
    <w:rsid w:val="00AC4282"/>
    <w:rsid w:val="00AC49BA"/>
    <w:rsid w:val="00AC4C43"/>
    <w:rsid w:val="00AC572E"/>
    <w:rsid w:val="00AC6599"/>
    <w:rsid w:val="00AC6B31"/>
    <w:rsid w:val="00AC72CA"/>
    <w:rsid w:val="00AC732D"/>
    <w:rsid w:val="00AD0057"/>
    <w:rsid w:val="00AD0FE1"/>
    <w:rsid w:val="00AD20FC"/>
    <w:rsid w:val="00AD2316"/>
    <w:rsid w:val="00AD3DA0"/>
    <w:rsid w:val="00AD487D"/>
    <w:rsid w:val="00AD55E6"/>
    <w:rsid w:val="00AD5604"/>
    <w:rsid w:val="00AD5D29"/>
    <w:rsid w:val="00AD67E1"/>
    <w:rsid w:val="00AD6A62"/>
    <w:rsid w:val="00AE00C6"/>
    <w:rsid w:val="00AE114F"/>
    <w:rsid w:val="00AE1630"/>
    <w:rsid w:val="00AE327F"/>
    <w:rsid w:val="00AE3626"/>
    <w:rsid w:val="00AE3E38"/>
    <w:rsid w:val="00AE41E2"/>
    <w:rsid w:val="00AE47A6"/>
    <w:rsid w:val="00AE48C6"/>
    <w:rsid w:val="00AE51CF"/>
    <w:rsid w:val="00AE52D1"/>
    <w:rsid w:val="00AE724F"/>
    <w:rsid w:val="00AE742B"/>
    <w:rsid w:val="00AE765E"/>
    <w:rsid w:val="00AE7CFF"/>
    <w:rsid w:val="00AE7F92"/>
    <w:rsid w:val="00AF177B"/>
    <w:rsid w:val="00AF1D85"/>
    <w:rsid w:val="00AF2808"/>
    <w:rsid w:val="00AF2893"/>
    <w:rsid w:val="00AF3BB5"/>
    <w:rsid w:val="00AF47B4"/>
    <w:rsid w:val="00AF4928"/>
    <w:rsid w:val="00AF6ACB"/>
    <w:rsid w:val="00AF6F50"/>
    <w:rsid w:val="00AF70CE"/>
    <w:rsid w:val="00AF7318"/>
    <w:rsid w:val="00AF74FE"/>
    <w:rsid w:val="00AF7990"/>
    <w:rsid w:val="00B005CD"/>
    <w:rsid w:val="00B010B3"/>
    <w:rsid w:val="00B02F17"/>
    <w:rsid w:val="00B035AA"/>
    <w:rsid w:val="00B0367A"/>
    <w:rsid w:val="00B03D08"/>
    <w:rsid w:val="00B04026"/>
    <w:rsid w:val="00B045ED"/>
    <w:rsid w:val="00B05439"/>
    <w:rsid w:val="00B05836"/>
    <w:rsid w:val="00B0587F"/>
    <w:rsid w:val="00B072D4"/>
    <w:rsid w:val="00B07308"/>
    <w:rsid w:val="00B07347"/>
    <w:rsid w:val="00B076BB"/>
    <w:rsid w:val="00B1005D"/>
    <w:rsid w:val="00B11A3A"/>
    <w:rsid w:val="00B11FA0"/>
    <w:rsid w:val="00B12DAE"/>
    <w:rsid w:val="00B13163"/>
    <w:rsid w:val="00B14ED6"/>
    <w:rsid w:val="00B15403"/>
    <w:rsid w:val="00B155D3"/>
    <w:rsid w:val="00B16C51"/>
    <w:rsid w:val="00B17451"/>
    <w:rsid w:val="00B17A80"/>
    <w:rsid w:val="00B20CBF"/>
    <w:rsid w:val="00B22049"/>
    <w:rsid w:val="00B22F0A"/>
    <w:rsid w:val="00B24AC5"/>
    <w:rsid w:val="00B25113"/>
    <w:rsid w:val="00B25516"/>
    <w:rsid w:val="00B25825"/>
    <w:rsid w:val="00B25D42"/>
    <w:rsid w:val="00B27F4E"/>
    <w:rsid w:val="00B31488"/>
    <w:rsid w:val="00B31AB6"/>
    <w:rsid w:val="00B31BA8"/>
    <w:rsid w:val="00B33107"/>
    <w:rsid w:val="00B34855"/>
    <w:rsid w:val="00B34910"/>
    <w:rsid w:val="00B34D7E"/>
    <w:rsid w:val="00B35154"/>
    <w:rsid w:val="00B35D56"/>
    <w:rsid w:val="00B35E50"/>
    <w:rsid w:val="00B36450"/>
    <w:rsid w:val="00B366B2"/>
    <w:rsid w:val="00B36BF7"/>
    <w:rsid w:val="00B37C57"/>
    <w:rsid w:val="00B400B2"/>
    <w:rsid w:val="00B40B76"/>
    <w:rsid w:val="00B40CD7"/>
    <w:rsid w:val="00B418CE"/>
    <w:rsid w:val="00B427ED"/>
    <w:rsid w:val="00B42D3D"/>
    <w:rsid w:val="00B443EA"/>
    <w:rsid w:val="00B44C05"/>
    <w:rsid w:val="00B44EC7"/>
    <w:rsid w:val="00B46124"/>
    <w:rsid w:val="00B46941"/>
    <w:rsid w:val="00B46E20"/>
    <w:rsid w:val="00B505BB"/>
    <w:rsid w:val="00B52DE5"/>
    <w:rsid w:val="00B537D8"/>
    <w:rsid w:val="00B565E0"/>
    <w:rsid w:val="00B57373"/>
    <w:rsid w:val="00B621F1"/>
    <w:rsid w:val="00B62C25"/>
    <w:rsid w:val="00B6302D"/>
    <w:rsid w:val="00B63612"/>
    <w:rsid w:val="00B63A09"/>
    <w:rsid w:val="00B64059"/>
    <w:rsid w:val="00B646BF"/>
    <w:rsid w:val="00B64781"/>
    <w:rsid w:val="00B64BA3"/>
    <w:rsid w:val="00B64F07"/>
    <w:rsid w:val="00B6596D"/>
    <w:rsid w:val="00B67D99"/>
    <w:rsid w:val="00B703FD"/>
    <w:rsid w:val="00B72230"/>
    <w:rsid w:val="00B73F87"/>
    <w:rsid w:val="00B76CA3"/>
    <w:rsid w:val="00B80143"/>
    <w:rsid w:val="00B80379"/>
    <w:rsid w:val="00B80505"/>
    <w:rsid w:val="00B80AE3"/>
    <w:rsid w:val="00B81700"/>
    <w:rsid w:val="00B81BCB"/>
    <w:rsid w:val="00B81C57"/>
    <w:rsid w:val="00B82174"/>
    <w:rsid w:val="00B82213"/>
    <w:rsid w:val="00B823EA"/>
    <w:rsid w:val="00B83859"/>
    <w:rsid w:val="00B849BA"/>
    <w:rsid w:val="00B849C8"/>
    <w:rsid w:val="00B84FCF"/>
    <w:rsid w:val="00B85373"/>
    <w:rsid w:val="00B855C8"/>
    <w:rsid w:val="00B8594C"/>
    <w:rsid w:val="00B869B1"/>
    <w:rsid w:val="00B87BC4"/>
    <w:rsid w:val="00B87E4E"/>
    <w:rsid w:val="00B900FC"/>
    <w:rsid w:val="00B90EC7"/>
    <w:rsid w:val="00B90FAA"/>
    <w:rsid w:val="00B91635"/>
    <w:rsid w:val="00B91CEB"/>
    <w:rsid w:val="00B92C7A"/>
    <w:rsid w:val="00B93B7F"/>
    <w:rsid w:val="00B9482D"/>
    <w:rsid w:val="00B955CB"/>
    <w:rsid w:val="00B95EB5"/>
    <w:rsid w:val="00BA019F"/>
    <w:rsid w:val="00BA0492"/>
    <w:rsid w:val="00BA0F2F"/>
    <w:rsid w:val="00BA11C5"/>
    <w:rsid w:val="00BA1F5D"/>
    <w:rsid w:val="00BA2EDD"/>
    <w:rsid w:val="00BA553D"/>
    <w:rsid w:val="00BA55F9"/>
    <w:rsid w:val="00BA593E"/>
    <w:rsid w:val="00BA64B5"/>
    <w:rsid w:val="00BA6968"/>
    <w:rsid w:val="00BA7177"/>
    <w:rsid w:val="00BA7789"/>
    <w:rsid w:val="00BA7C83"/>
    <w:rsid w:val="00BB0A0B"/>
    <w:rsid w:val="00BB0F67"/>
    <w:rsid w:val="00BB101B"/>
    <w:rsid w:val="00BB10DE"/>
    <w:rsid w:val="00BB10FA"/>
    <w:rsid w:val="00BB149A"/>
    <w:rsid w:val="00BB1627"/>
    <w:rsid w:val="00BB23CE"/>
    <w:rsid w:val="00BB2D49"/>
    <w:rsid w:val="00BB2F67"/>
    <w:rsid w:val="00BB33DA"/>
    <w:rsid w:val="00BB3572"/>
    <w:rsid w:val="00BB3B56"/>
    <w:rsid w:val="00BB43BD"/>
    <w:rsid w:val="00BB4CB2"/>
    <w:rsid w:val="00BB51F2"/>
    <w:rsid w:val="00BB56E2"/>
    <w:rsid w:val="00BB5D8B"/>
    <w:rsid w:val="00BB624C"/>
    <w:rsid w:val="00BB6483"/>
    <w:rsid w:val="00BB7EBC"/>
    <w:rsid w:val="00BC162F"/>
    <w:rsid w:val="00BC27EA"/>
    <w:rsid w:val="00BC3412"/>
    <w:rsid w:val="00BC489C"/>
    <w:rsid w:val="00BC4A31"/>
    <w:rsid w:val="00BC5042"/>
    <w:rsid w:val="00BC59D8"/>
    <w:rsid w:val="00BC5ACB"/>
    <w:rsid w:val="00BC5B96"/>
    <w:rsid w:val="00BC68A8"/>
    <w:rsid w:val="00BC7124"/>
    <w:rsid w:val="00BC79CA"/>
    <w:rsid w:val="00BD069F"/>
    <w:rsid w:val="00BD1C36"/>
    <w:rsid w:val="00BD2395"/>
    <w:rsid w:val="00BD29A3"/>
    <w:rsid w:val="00BD4118"/>
    <w:rsid w:val="00BD508E"/>
    <w:rsid w:val="00BD53FB"/>
    <w:rsid w:val="00BD5991"/>
    <w:rsid w:val="00BD74EB"/>
    <w:rsid w:val="00BD7ED5"/>
    <w:rsid w:val="00BE19AD"/>
    <w:rsid w:val="00BE2002"/>
    <w:rsid w:val="00BE258C"/>
    <w:rsid w:val="00BE27DD"/>
    <w:rsid w:val="00BE3320"/>
    <w:rsid w:val="00BE4D2C"/>
    <w:rsid w:val="00BE571C"/>
    <w:rsid w:val="00BE577E"/>
    <w:rsid w:val="00BE6A62"/>
    <w:rsid w:val="00BE7052"/>
    <w:rsid w:val="00BE70B7"/>
    <w:rsid w:val="00BE74ED"/>
    <w:rsid w:val="00BE75EC"/>
    <w:rsid w:val="00BF04EA"/>
    <w:rsid w:val="00BF351F"/>
    <w:rsid w:val="00BF3A77"/>
    <w:rsid w:val="00BF4C89"/>
    <w:rsid w:val="00BF59A8"/>
    <w:rsid w:val="00BF5E7E"/>
    <w:rsid w:val="00BF66F2"/>
    <w:rsid w:val="00BF673C"/>
    <w:rsid w:val="00BF6E04"/>
    <w:rsid w:val="00BF7B16"/>
    <w:rsid w:val="00C0038F"/>
    <w:rsid w:val="00C007C6"/>
    <w:rsid w:val="00C022F7"/>
    <w:rsid w:val="00C02945"/>
    <w:rsid w:val="00C03272"/>
    <w:rsid w:val="00C04B80"/>
    <w:rsid w:val="00C0739A"/>
    <w:rsid w:val="00C07B5C"/>
    <w:rsid w:val="00C07EE8"/>
    <w:rsid w:val="00C1025E"/>
    <w:rsid w:val="00C102D9"/>
    <w:rsid w:val="00C10C4A"/>
    <w:rsid w:val="00C1148C"/>
    <w:rsid w:val="00C11631"/>
    <w:rsid w:val="00C11A76"/>
    <w:rsid w:val="00C11F1C"/>
    <w:rsid w:val="00C12DBF"/>
    <w:rsid w:val="00C1453B"/>
    <w:rsid w:val="00C14ED0"/>
    <w:rsid w:val="00C150E7"/>
    <w:rsid w:val="00C16647"/>
    <w:rsid w:val="00C16C18"/>
    <w:rsid w:val="00C17335"/>
    <w:rsid w:val="00C17DC3"/>
    <w:rsid w:val="00C20192"/>
    <w:rsid w:val="00C20C40"/>
    <w:rsid w:val="00C20C68"/>
    <w:rsid w:val="00C2122A"/>
    <w:rsid w:val="00C2139E"/>
    <w:rsid w:val="00C2168F"/>
    <w:rsid w:val="00C23DB8"/>
    <w:rsid w:val="00C24F7C"/>
    <w:rsid w:val="00C257DC"/>
    <w:rsid w:val="00C2584A"/>
    <w:rsid w:val="00C25A5E"/>
    <w:rsid w:val="00C25AD1"/>
    <w:rsid w:val="00C271C6"/>
    <w:rsid w:val="00C27584"/>
    <w:rsid w:val="00C30586"/>
    <w:rsid w:val="00C30765"/>
    <w:rsid w:val="00C3297E"/>
    <w:rsid w:val="00C33424"/>
    <w:rsid w:val="00C3490E"/>
    <w:rsid w:val="00C34AAD"/>
    <w:rsid w:val="00C34F4F"/>
    <w:rsid w:val="00C35027"/>
    <w:rsid w:val="00C36058"/>
    <w:rsid w:val="00C37750"/>
    <w:rsid w:val="00C40975"/>
    <w:rsid w:val="00C42650"/>
    <w:rsid w:val="00C42C55"/>
    <w:rsid w:val="00C42E63"/>
    <w:rsid w:val="00C4457F"/>
    <w:rsid w:val="00C447A3"/>
    <w:rsid w:val="00C45BAD"/>
    <w:rsid w:val="00C45CF6"/>
    <w:rsid w:val="00C46356"/>
    <w:rsid w:val="00C46840"/>
    <w:rsid w:val="00C46995"/>
    <w:rsid w:val="00C50443"/>
    <w:rsid w:val="00C505D8"/>
    <w:rsid w:val="00C50CAB"/>
    <w:rsid w:val="00C50DEF"/>
    <w:rsid w:val="00C514AA"/>
    <w:rsid w:val="00C5217B"/>
    <w:rsid w:val="00C5396E"/>
    <w:rsid w:val="00C53A20"/>
    <w:rsid w:val="00C5674E"/>
    <w:rsid w:val="00C56C2D"/>
    <w:rsid w:val="00C5723C"/>
    <w:rsid w:val="00C57EC1"/>
    <w:rsid w:val="00C608C1"/>
    <w:rsid w:val="00C6141C"/>
    <w:rsid w:val="00C61451"/>
    <w:rsid w:val="00C622E2"/>
    <w:rsid w:val="00C62732"/>
    <w:rsid w:val="00C62FC2"/>
    <w:rsid w:val="00C63202"/>
    <w:rsid w:val="00C63543"/>
    <w:rsid w:val="00C66409"/>
    <w:rsid w:val="00C66AA0"/>
    <w:rsid w:val="00C66F10"/>
    <w:rsid w:val="00C66FB2"/>
    <w:rsid w:val="00C67BF3"/>
    <w:rsid w:val="00C67F25"/>
    <w:rsid w:val="00C67F79"/>
    <w:rsid w:val="00C67FA0"/>
    <w:rsid w:val="00C7051B"/>
    <w:rsid w:val="00C71CF3"/>
    <w:rsid w:val="00C72E00"/>
    <w:rsid w:val="00C73503"/>
    <w:rsid w:val="00C73AEA"/>
    <w:rsid w:val="00C73E7D"/>
    <w:rsid w:val="00C74070"/>
    <w:rsid w:val="00C740A2"/>
    <w:rsid w:val="00C74690"/>
    <w:rsid w:val="00C769BC"/>
    <w:rsid w:val="00C76CB5"/>
    <w:rsid w:val="00C771D9"/>
    <w:rsid w:val="00C7750E"/>
    <w:rsid w:val="00C80E31"/>
    <w:rsid w:val="00C81C0E"/>
    <w:rsid w:val="00C8209D"/>
    <w:rsid w:val="00C822B8"/>
    <w:rsid w:val="00C82821"/>
    <w:rsid w:val="00C83335"/>
    <w:rsid w:val="00C836B8"/>
    <w:rsid w:val="00C83C1F"/>
    <w:rsid w:val="00C8406F"/>
    <w:rsid w:val="00C900B0"/>
    <w:rsid w:val="00C903EC"/>
    <w:rsid w:val="00C90B09"/>
    <w:rsid w:val="00C90C53"/>
    <w:rsid w:val="00C90EDB"/>
    <w:rsid w:val="00C9208B"/>
    <w:rsid w:val="00C93D4C"/>
    <w:rsid w:val="00C940EA"/>
    <w:rsid w:val="00C9585F"/>
    <w:rsid w:val="00C95BFF"/>
    <w:rsid w:val="00C973A0"/>
    <w:rsid w:val="00C97982"/>
    <w:rsid w:val="00CA04D2"/>
    <w:rsid w:val="00CA06EA"/>
    <w:rsid w:val="00CA0E62"/>
    <w:rsid w:val="00CA2C20"/>
    <w:rsid w:val="00CA324F"/>
    <w:rsid w:val="00CA37C7"/>
    <w:rsid w:val="00CA556B"/>
    <w:rsid w:val="00CA5CA8"/>
    <w:rsid w:val="00CA6254"/>
    <w:rsid w:val="00CA6E68"/>
    <w:rsid w:val="00CA74A9"/>
    <w:rsid w:val="00CB3542"/>
    <w:rsid w:val="00CB4F46"/>
    <w:rsid w:val="00CB4FEA"/>
    <w:rsid w:val="00CB52D9"/>
    <w:rsid w:val="00CB662A"/>
    <w:rsid w:val="00CB6BC1"/>
    <w:rsid w:val="00CB7391"/>
    <w:rsid w:val="00CB7533"/>
    <w:rsid w:val="00CB7A89"/>
    <w:rsid w:val="00CB7B92"/>
    <w:rsid w:val="00CC0842"/>
    <w:rsid w:val="00CC0C49"/>
    <w:rsid w:val="00CC12E4"/>
    <w:rsid w:val="00CC2A00"/>
    <w:rsid w:val="00CC2D3C"/>
    <w:rsid w:val="00CC3AB9"/>
    <w:rsid w:val="00CC3C91"/>
    <w:rsid w:val="00CC454F"/>
    <w:rsid w:val="00CC4F22"/>
    <w:rsid w:val="00CC4FDF"/>
    <w:rsid w:val="00CC6E36"/>
    <w:rsid w:val="00CC7254"/>
    <w:rsid w:val="00CD1171"/>
    <w:rsid w:val="00CD1384"/>
    <w:rsid w:val="00CD13B8"/>
    <w:rsid w:val="00CD1DB0"/>
    <w:rsid w:val="00CD3182"/>
    <w:rsid w:val="00CD359F"/>
    <w:rsid w:val="00CD35DD"/>
    <w:rsid w:val="00CD3C3F"/>
    <w:rsid w:val="00CD4520"/>
    <w:rsid w:val="00CD5FCD"/>
    <w:rsid w:val="00CD6E61"/>
    <w:rsid w:val="00CD7311"/>
    <w:rsid w:val="00CD7A3C"/>
    <w:rsid w:val="00CE08F2"/>
    <w:rsid w:val="00CE1C4A"/>
    <w:rsid w:val="00CE1DED"/>
    <w:rsid w:val="00CE1EEF"/>
    <w:rsid w:val="00CE2148"/>
    <w:rsid w:val="00CE3830"/>
    <w:rsid w:val="00CE38A9"/>
    <w:rsid w:val="00CE39CF"/>
    <w:rsid w:val="00CE55AD"/>
    <w:rsid w:val="00CE5B06"/>
    <w:rsid w:val="00CE6213"/>
    <w:rsid w:val="00CE6519"/>
    <w:rsid w:val="00CE6555"/>
    <w:rsid w:val="00CE674F"/>
    <w:rsid w:val="00CE6787"/>
    <w:rsid w:val="00CE6C2A"/>
    <w:rsid w:val="00CE75BA"/>
    <w:rsid w:val="00CF06AA"/>
    <w:rsid w:val="00CF0BF7"/>
    <w:rsid w:val="00CF1460"/>
    <w:rsid w:val="00CF2013"/>
    <w:rsid w:val="00CF2B3A"/>
    <w:rsid w:val="00CF2DC9"/>
    <w:rsid w:val="00CF3CE6"/>
    <w:rsid w:val="00CF6B34"/>
    <w:rsid w:val="00D02B80"/>
    <w:rsid w:val="00D02EFA"/>
    <w:rsid w:val="00D03F27"/>
    <w:rsid w:val="00D0474A"/>
    <w:rsid w:val="00D04F28"/>
    <w:rsid w:val="00D05386"/>
    <w:rsid w:val="00D062E6"/>
    <w:rsid w:val="00D06355"/>
    <w:rsid w:val="00D07487"/>
    <w:rsid w:val="00D074BE"/>
    <w:rsid w:val="00D07729"/>
    <w:rsid w:val="00D07A55"/>
    <w:rsid w:val="00D101F1"/>
    <w:rsid w:val="00D11050"/>
    <w:rsid w:val="00D13A1D"/>
    <w:rsid w:val="00D13DF2"/>
    <w:rsid w:val="00D158B2"/>
    <w:rsid w:val="00D165B8"/>
    <w:rsid w:val="00D17418"/>
    <w:rsid w:val="00D208CA"/>
    <w:rsid w:val="00D217D0"/>
    <w:rsid w:val="00D2227B"/>
    <w:rsid w:val="00D2290E"/>
    <w:rsid w:val="00D22E0A"/>
    <w:rsid w:val="00D24815"/>
    <w:rsid w:val="00D24AE8"/>
    <w:rsid w:val="00D26E66"/>
    <w:rsid w:val="00D3042E"/>
    <w:rsid w:val="00D30832"/>
    <w:rsid w:val="00D31A1B"/>
    <w:rsid w:val="00D320D0"/>
    <w:rsid w:val="00D32906"/>
    <w:rsid w:val="00D335E1"/>
    <w:rsid w:val="00D33DAE"/>
    <w:rsid w:val="00D3414D"/>
    <w:rsid w:val="00D356CF"/>
    <w:rsid w:val="00D363A3"/>
    <w:rsid w:val="00D36589"/>
    <w:rsid w:val="00D40363"/>
    <w:rsid w:val="00D40E4B"/>
    <w:rsid w:val="00D4104F"/>
    <w:rsid w:val="00D41398"/>
    <w:rsid w:val="00D418AF"/>
    <w:rsid w:val="00D41F4F"/>
    <w:rsid w:val="00D42F28"/>
    <w:rsid w:val="00D435B3"/>
    <w:rsid w:val="00D43CA8"/>
    <w:rsid w:val="00D43D23"/>
    <w:rsid w:val="00D4441A"/>
    <w:rsid w:val="00D44F9E"/>
    <w:rsid w:val="00D46AC5"/>
    <w:rsid w:val="00D5055F"/>
    <w:rsid w:val="00D50BFD"/>
    <w:rsid w:val="00D51AC5"/>
    <w:rsid w:val="00D52D2D"/>
    <w:rsid w:val="00D53F58"/>
    <w:rsid w:val="00D54631"/>
    <w:rsid w:val="00D54C01"/>
    <w:rsid w:val="00D55F06"/>
    <w:rsid w:val="00D56B3E"/>
    <w:rsid w:val="00D60574"/>
    <w:rsid w:val="00D60A8F"/>
    <w:rsid w:val="00D611AB"/>
    <w:rsid w:val="00D61365"/>
    <w:rsid w:val="00D62BB5"/>
    <w:rsid w:val="00D63513"/>
    <w:rsid w:val="00D70920"/>
    <w:rsid w:val="00D723B8"/>
    <w:rsid w:val="00D72E24"/>
    <w:rsid w:val="00D733A3"/>
    <w:rsid w:val="00D7496C"/>
    <w:rsid w:val="00D750A2"/>
    <w:rsid w:val="00D758C7"/>
    <w:rsid w:val="00D7611D"/>
    <w:rsid w:val="00D773FB"/>
    <w:rsid w:val="00D77C6D"/>
    <w:rsid w:val="00D77FB2"/>
    <w:rsid w:val="00D80BC9"/>
    <w:rsid w:val="00D82537"/>
    <w:rsid w:val="00D83140"/>
    <w:rsid w:val="00D8340D"/>
    <w:rsid w:val="00D84752"/>
    <w:rsid w:val="00D84809"/>
    <w:rsid w:val="00D85D07"/>
    <w:rsid w:val="00D85E59"/>
    <w:rsid w:val="00D86BF7"/>
    <w:rsid w:val="00D87566"/>
    <w:rsid w:val="00D8797C"/>
    <w:rsid w:val="00D901C0"/>
    <w:rsid w:val="00D9039D"/>
    <w:rsid w:val="00D90518"/>
    <w:rsid w:val="00D90539"/>
    <w:rsid w:val="00D9149F"/>
    <w:rsid w:val="00D92726"/>
    <w:rsid w:val="00D937BC"/>
    <w:rsid w:val="00D95FE8"/>
    <w:rsid w:val="00D969B2"/>
    <w:rsid w:val="00DA0B61"/>
    <w:rsid w:val="00DA1192"/>
    <w:rsid w:val="00DA14D6"/>
    <w:rsid w:val="00DA23C0"/>
    <w:rsid w:val="00DA24FF"/>
    <w:rsid w:val="00DA6012"/>
    <w:rsid w:val="00DA6970"/>
    <w:rsid w:val="00DA6F2A"/>
    <w:rsid w:val="00DA764D"/>
    <w:rsid w:val="00DA7B62"/>
    <w:rsid w:val="00DB04E0"/>
    <w:rsid w:val="00DB0652"/>
    <w:rsid w:val="00DB0A46"/>
    <w:rsid w:val="00DB12A8"/>
    <w:rsid w:val="00DB1921"/>
    <w:rsid w:val="00DB1948"/>
    <w:rsid w:val="00DB1DE6"/>
    <w:rsid w:val="00DB2187"/>
    <w:rsid w:val="00DB2663"/>
    <w:rsid w:val="00DC045F"/>
    <w:rsid w:val="00DC0464"/>
    <w:rsid w:val="00DC064F"/>
    <w:rsid w:val="00DC1243"/>
    <w:rsid w:val="00DC1546"/>
    <w:rsid w:val="00DC2644"/>
    <w:rsid w:val="00DC4657"/>
    <w:rsid w:val="00DC584D"/>
    <w:rsid w:val="00DC616F"/>
    <w:rsid w:val="00DC7E88"/>
    <w:rsid w:val="00DD3567"/>
    <w:rsid w:val="00DD362C"/>
    <w:rsid w:val="00DD408A"/>
    <w:rsid w:val="00DD457D"/>
    <w:rsid w:val="00DD46BB"/>
    <w:rsid w:val="00DD48A6"/>
    <w:rsid w:val="00DD4D8A"/>
    <w:rsid w:val="00DD52AE"/>
    <w:rsid w:val="00DD5DF9"/>
    <w:rsid w:val="00DD70C1"/>
    <w:rsid w:val="00DE14CC"/>
    <w:rsid w:val="00DE1A9A"/>
    <w:rsid w:val="00DE1BDD"/>
    <w:rsid w:val="00DE3662"/>
    <w:rsid w:val="00DE3B10"/>
    <w:rsid w:val="00DE4410"/>
    <w:rsid w:val="00DE60DA"/>
    <w:rsid w:val="00DE6791"/>
    <w:rsid w:val="00DE7031"/>
    <w:rsid w:val="00DE7FC8"/>
    <w:rsid w:val="00DF0854"/>
    <w:rsid w:val="00DF0AC6"/>
    <w:rsid w:val="00DF0F3E"/>
    <w:rsid w:val="00DF1BE0"/>
    <w:rsid w:val="00DF213F"/>
    <w:rsid w:val="00DF21AD"/>
    <w:rsid w:val="00DF27B4"/>
    <w:rsid w:val="00DF2A25"/>
    <w:rsid w:val="00DF2BE3"/>
    <w:rsid w:val="00DF3465"/>
    <w:rsid w:val="00DF563D"/>
    <w:rsid w:val="00DF683A"/>
    <w:rsid w:val="00DF690A"/>
    <w:rsid w:val="00DF6B7A"/>
    <w:rsid w:val="00DF793F"/>
    <w:rsid w:val="00E007E3"/>
    <w:rsid w:val="00E0089F"/>
    <w:rsid w:val="00E018F2"/>
    <w:rsid w:val="00E021FF"/>
    <w:rsid w:val="00E02F75"/>
    <w:rsid w:val="00E03441"/>
    <w:rsid w:val="00E0385F"/>
    <w:rsid w:val="00E04B62"/>
    <w:rsid w:val="00E05E48"/>
    <w:rsid w:val="00E07438"/>
    <w:rsid w:val="00E10304"/>
    <w:rsid w:val="00E1307D"/>
    <w:rsid w:val="00E1420E"/>
    <w:rsid w:val="00E14553"/>
    <w:rsid w:val="00E147D5"/>
    <w:rsid w:val="00E15522"/>
    <w:rsid w:val="00E15DD9"/>
    <w:rsid w:val="00E16038"/>
    <w:rsid w:val="00E17A79"/>
    <w:rsid w:val="00E20884"/>
    <w:rsid w:val="00E20936"/>
    <w:rsid w:val="00E20BC2"/>
    <w:rsid w:val="00E21BE2"/>
    <w:rsid w:val="00E21F9A"/>
    <w:rsid w:val="00E22493"/>
    <w:rsid w:val="00E22F26"/>
    <w:rsid w:val="00E2378A"/>
    <w:rsid w:val="00E23BD2"/>
    <w:rsid w:val="00E24CC4"/>
    <w:rsid w:val="00E25B22"/>
    <w:rsid w:val="00E25F0B"/>
    <w:rsid w:val="00E263E2"/>
    <w:rsid w:val="00E265F0"/>
    <w:rsid w:val="00E26627"/>
    <w:rsid w:val="00E27ADE"/>
    <w:rsid w:val="00E27AF5"/>
    <w:rsid w:val="00E27EA4"/>
    <w:rsid w:val="00E30171"/>
    <w:rsid w:val="00E30C75"/>
    <w:rsid w:val="00E317A7"/>
    <w:rsid w:val="00E31BC1"/>
    <w:rsid w:val="00E32227"/>
    <w:rsid w:val="00E3313C"/>
    <w:rsid w:val="00E334A1"/>
    <w:rsid w:val="00E35545"/>
    <w:rsid w:val="00E35B2B"/>
    <w:rsid w:val="00E36148"/>
    <w:rsid w:val="00E36202"/>
    <w:rsid w:val="00E364D3"/>
    <w:rsid w:val="00E3665C"/>
    <w:rsid w:val="00E36DD5"/>
    <w:rsid w:val="00E40C80"/>
    <w:rsid w:val="00E41B4D"/>
    <w:rsid w:val="00E4391A"/>
    <w:rsid w:val="00E44B70"/>
    <w:rsid w:val="00E44E1F"/>
    <w:rsid w:val="00E45115"/>
    <w:rsid w:val="00E45F08"/>
    <w:rsid w:val="00E469D1"/>
    <w:rsid w:val="00E4742D"/>
    <w:rsid w:val="00E5191D"/>
    <w:rsid w:val="00E525E3"/>
    <w:rsid w:val="00E52874"/>
    <w:rsid w:val="00E52E7C"/>
    <w:rsid w:val="00E539DD"/>
    <w:rsid w:val="00E54524"/>
    <w:rsid w:val="00E54831"/>
    <w:rsid w:val="00E562B2"/>
    <w:rsid w:val="00E57379"/>
    <w:rsid w:val="00E604D3"/>
    <w:rsid w:val="00E605F2"/>
    <w:rsid w:val="00E62693"/>
    <w:rsid w:val="00E63694"/>
    <w:rsid w:val="00E64638"/>
    <w:rsid w:val="00E64FC7"/>
    <w:rsid w:val="00E6504A"/>
    <w:rsid w:val="00E6560E"/>
    <w:rsid w:val="00E658BE"/>
    <w:rsid w:val="00E65BB4"/>
    <w:rsid w:val="00E66748"/>
    <w:rsid w:val="00E66ACA"/>
    <w:rsid w:val="00E66B80"/>
    <w:rsid w:val="00E66BBF"/>
    <w:rsid w:val="00E67351"/>
    <w:rsid w:val="00E6780A"/>
    <w:rsid w:val="00E7105F"/>
    <w:rsid w:val="00E71763"/>
    <w:rsid w:val="00E71778"/>
    <w:rsid w:val="00E72B72"/>
    <w:rsid w:val="00E72EA7"/>
    <w:rsid w:val="00E73242"/>
    <w:rsid w:val="00E733B6"/>
    <w:rsid w:val="00E73CE3"/>
    <w:rsid w:val="00E7525F"/>
    <w:rsid w:val="00E7545F"/>
    <w:rsid w:val="00E75B84"/>
    <w:rsid w:val="00E765B6"/>
    <w:rsid w:val="00E76987"/>
    <w:rsid w:val="00E8014D"/>
    <w:rsid w:val="00E812F3"/>
    <w:rsid w:val="00E817F5"/>
    <w:rsid w:val="00E81E14"/>
    <w:rsid w:val="00E8200C"/>
    <w:rsid w:val="00E82529"/>
    <w:rsid w:val="00E827AF"/>
    <w:rsid w:val="00E82C5E"/>
    <w:rsid w:val="00E836DC"/>
    <w:rsid w:val="00E846AF"/>
    <w:rsid w:val="00E85532"/>
    <w:rsid w:val="00E8634C"/>
    <w:rsid w:val="00E86DDD"/>
    <w:rsid w:val="00E903C1"/>
    <w:rsid w:val="00E93B59"/>
    <w:rsid w:val="00E949E2"/>
    <w:rsid w:val="00E9601F"/>
    <w:rsid w:val="00E964C0"/>
    <w:rsid w:val="00E97107"/>
    <w:rsid w:val="00E97607"/>
    <w:rsid w:val="00E97A55"/>
    <w:rsid w:val="00EA0B31"/>
    <w:rsid w:val="00EA1131"/>
    <w:rsid w:val="00EA15BA"/>
    <w:rsid w:val="00EA1CCA"/>
    <w:rsid w:val="00EA2D0D"/>
    <w:rsid w:val="00EA386C"/>
    <w:rsid w:val="00EA410E"/>
    <w:rsid w:val="00EA4209"/>
    <w:rsid w:val="00EA4EBB"/>
    <w:rsid w:val="00EA57F3"/>
    <w:rsid w:val="00EA59EB"/>
    <w:rsid w:val="00EA6749"/>
    <w:rsid w:val="00EA6D3D"/>
    <w:rsid w:val="00EA77CE"/>
    <w:rsid w:val="00EB03B0"/>
    <w:rsid w:val="00EB0DB5"/>
    <w:rsid w:val="00EB100A"/>
    <w:rsid w:val="00EB1235"/>
    <w:rsid w:val="00EB131E"/>
    <w:rsid w:val="00EB1C26"/>
    <w:rsid w:val="00EB1CFC"/>
    <w:rsid w:val="00EB1D1F"/>
    <w:rsid w:val="00EB2080"/>
    <w:rsid w:val="00EB2AF5"/>
    <w:rsid w:val="00EB4726"/>
    <w:rsid w:val="00EB47E7"/>
    <w:rsid w:val="00EB4AE2"/>
    <w:rsid w:val="00EB5608"/>
    <w:rsid w:val="00EB5C34"/>
    <w:rsid w:val="00EB5E16"/>
    <w:rsid w:val="00EB61B0"/>
    <w:rsid w:val="00EB7129"/>
    <w:rsid w:val="00EB73ED"/>
    <w:rsid w:val="00EB7CB5"/>
    <w:rsid w:val="00EC089F"/>
    <w:rsid w:val="00EC0D34"/>
    <w:rsid w:val="00EC1813"/>
    <w:rsid w:val="00EC2A1D"/>
    <w:rsid w:val="00EC4C49"/>
    <w:rsid w:val="00EC4F79"/>
    <w:rsid w:val="00EC6CC4"/>
    <w:rsid w:val="00EC7144"/>
    <w:rsid w:val="00EC7716"/>
    <w:rsid w:val="00ED04B8"/>
    <w:rsid w:val="00ED1C20"/>
    <w:rsid w:val="00ED1FE5"/>
    <w:rsid w:val="00ED2234"/>
    <w:rsid w:val="00ED2EE1"/>
    <w:rsid w:val="00ED31CC"/>
    <w:rsid w:val="00ED33FE"/>
    <w:rsid w:val="00ED3D0E"/>
    <w:rsid w:val="00ED578C"/>
    <w:rsid w:val="00ED5831"/>
    <w:rsid w:val="00ED654D"/>
    <w:rsid w:val="00ED6603"/>
    <w:rsid w:val="00ED69F7"/>
    <w:rsid w:val="00ED7752"/>
    <w:rsid w:val="00ED77C9"/>
    <w:rsid w:val="00ED7DB1"/>
    <w:rsid w:val="00ED7E54"/>
    <w:rsid w:val="00EE07B8"/>
    <w:rsid w:val="00EE08E1"/>
    <w:rsid w:val="00EE0FB6"/>
    <w:rsid w:val="00EE1BF5"/>
    <w:rsid w:val="00EE2309"/>
    <w:rsid w:val="00EE281B"/>
    <w:rsid w:val="00EE2933"/>
    <w:rsid w:val="00EE3308"/>
    <w:rsid w:val="00EE3346"/>
    <w:rsid w:val="00EE3797"/>
    <w:rsid w:val="00EE3CCE"/>
    <w:rsid w:val="00EE441A"/>
    <w:rsid w:val="00EE441C"/>
    <w:rsid w:val="00EE5594"/>
    <w:rsid w:val="00EE5B6F"/>
    <w:rsid w:val="00EE5DC0"/>
    <w:rsid w:val="00EE60E6"/>
    <w:rsid w:val="00EE641D"/>
    <w:rsid w:val="00EE6919"/>
    <w:rsid w:val="00EE6FCF"/>
    <w:rsid w:val="00EE7422"/>
    <w:rsid w:val="00EF010D"/>
    <w:rsid w:val="00EF11A0"/>
    <w:rsid w:val="00EF1B25"/>
    <w:rsid w:val="00EF1BC4"/>
    <w:rsid w:val="00EF1DB7"/>
    <w:rsid w:val="00EF2C34"/>
    <w:rsid w:val="00EF2CA6"/>
    <w:rsid w:val="00EF449C"/>
    <w:rsid w:val="00EF47E5"/>
    <w:rsid w:val="00EF4F48"/>
    <w:rsid w:val="00EF58E3"/>
    <w:rsid w:val="00EF6412"/>
    <w:rsid w:val="00EF681C"/>
    <w:rsid w:val="00F013B9"/>
    <w:rsid w:val="00F01719"/>
    <w:rsid w:val="00F033D5"/>
    <w:rsid w:val="00F05D4F"/>
    <w:rsid w:val="00F06576"/>
    <w:rsid w:val="00F06997"/>
    <w:rsid w:val="00F06C28"/>
    <w:rsid w:val="00F073B5"/>
    <w:rsid w:val="00F07D5E"/>
    <w:rsid w:val="00F07DBA"/>
    <w:rsid w:val="00F07E66"/>
    <w:rsid w:val="00F1015F"/>
    <w:rsid w:val="00F111F9"/>
    <w:rsid w:val="00F112A5"/>
    <w:rsid w:val="00F122C3"/>
    <w:rsid w:val="00F12983"/>
    <w:rsid w:val="00F12BEF"/>
    <w:rsid w:val="00F12CD9"/>
    <w:rsid w:val="00F1367D"/>
    <w:rsid w:val="00F14FD1"/>
    <w:rsid w:val="00F1506C"/>
    <w:rsid w:val="00F15A4F"/>
    <w:rsid w:val="00F165B8"/>
    <w:rsid w:val="00F16D7D"/>
    <w:rsid w:val="00F17583"/>
    <w:rsid w:val="00F1759B"/>
    <w:rsid w:val="00F17623"/>
    <w:rsid w:val="00F177A9"/>
    <w:rsid w:val="00F204B1"/>
    <w:rsid w:val="00F205EC"/>
    <w:rsid w:val="00F20A74"/>
    <w:rsid w:val="00F20B16"/>
    <w:rsid w:val="00F20DB8"/>
    <w:rsid w:val="00F211A9"/>
    <w:rsid w:val="00F22BE6"/>
    <w:rsid w:val="00F23735"/>
    <w:rsid w:val="00F2461D"/>
    <w:rsid w:val="00F24751"/>
    <w:rsid w:val="00F2574D"/>
    <w:rsid w:val="00F2720F"/>
    <w:rsid w:val="00F27A08"/>
    <w:rsid w:val="00F27F40"/>
    <w:rsid w:val="00F305B7"/>
    <w:rsid w:val="00F30CD4"/>
    <w:rsid w:val="00F33B98"/>
    <w:rsid w:val="00F3411E"/>
    <w:rsid w:val="00F35804"/>
    <w:rsid w:val="00F3672C"/>
    <w:rsid w:val="00F36B5E"/>
    <w:rsid w:val="00F36D2C"/>
    <w:rsid w:val="00F36E69"/>
    <w:rsid w:val="00F3701C"/>
    <w:rsid w:val="00F37184"/>
    <w:rsid w:val="00F4055B"/>
    <w:rsid w:val="00F4112C"/>
    <w:rsid w:val="00F41170"/>
    <w:rsid w:val="00F41DCE"/>
    <w:rsid w:val="00F4207A"/>
    <w:rsid w:val="00F4234C"/>
    <w:rsid w:val="00F427DD"/>
    <w:rsid w:val="00F44EF1"/>
    <w:rsid w:val="00F4516D"/>
    <w:rsid w:val="00F47D4F"/>
    <w:rsid w:val="00F47F5D"/>
    <w:rsid w:val="00F50695"/>
    <w:rsid w:val="00F515AA"/>
    <w:rsid w:val="00F51ACF"/>
    <w:rsid w:val="00F52E4F"/>
    <w:rsid w:val="00F546B9"/>
    <w:rsid w:val="00F546F6"/>
    <w:rsid w:val="00F54849"/>
    <w:rsid w:val="00F554CE"/>
    <w:rsid w:val="00F56ED0"/>
    <w:rsid w:val="00F5727D"/>
    <w:rsid w:val="00F57541"/>
    <w:rsid w:val="00F57650"/>
    <w:rsid w:val="00F579F6"/>
    <w:rsid w:val="00F57C80"/>
    <w:rsid w:val="00F57D3E"/>
    <w:rsid w:val="00F57DE4"/>
    <w:rsid w:val="00F6140F"/>
    <w:rsid w:val="00F614C0"/>
    <w:rsid w:val="00F62231"/>
    <w:rsid w:val="00F62702"/>
    <w:rsid w:val="00F62A11"/>
    <w:rsid w:val="00F6348A"/>
    <w:rsid w:val="00F63833"/>
    <w:rsid w:val="00F63883"/>
    <w:rsid w:val="00F64C60"/>
    <w:rsid w:val="00F6538D"/>
    <w:rsid w:val="00F66216"/>
    <w:rsid w:val="00F67E85"/>
    <w:rsid w:val="00F67F55"/>
    <w:rsid w:val="00F7177B"/>
    <w:rsid w:val="00F7182B"/>
    <w:rsid w:val="00F71C8D"/>
    <w:rsid w:val="00F7208A"/>
    <w:rsid w:val="00F72CAB"/>
    <w:rsid w:val="00F72D44"/>
    <w:rsid w:val="00F72EDC"/>
    <w:rsid w:val="00F732E1"/>
    <w:rsid w:val="00F74900"/>
    <w:rsid w:val="00F74AC2"/>
    <w:rsid w:val="00F75A5E"/>
    <w:rsid w:val="00F75D58"/>
    <w:rsid w:val="00F761A9"/>
    <w:rsid w:val="00F80386"/>
    <w:rsid w:val="00F81586"/>
    <w:rsid w:val="00F8276C"/>
    <w:rsid w:val="00F828A2"/>
    <w:rsid w:val="00F82C26"/>
    <w:rsid w:val="00F84751"/>
    <w:rsid w:val="00F84E6F"/>
    <w:rsid w:val="00F852AF"/>
    <w:rsid w:val="00F85992"/>
    <w:rsid w:val="00F85A72"/>
    <w:rsid w:val="00F865E5"/>
    <w:rsid w:val="00F8748C"/>
    <w:rsid w:val="00F87836"/>
    <w:rsid w:val="00F9094F"/>
    <w:rsid w:val="00F90CB9"/>
    <w:rsid w:val="00F9197B"/>
    <w:rsid w:val="00F91C31"/>
    <w:rsid w:val="00F942BB"/>
    <w:rsid w:val="00F94361"/>
    <w:rsid w:val="00F95355"/>
    <w:rsid w:val="00F9558F"/>
    <w:rsid w:val="00F9585C"/>
    <w:rsid w:val="00F96D8B"/>
    <w:rsid w:val="00F96DEF"/>
    <w:rsid w:val="00F97FCC"/>
    <w:rsid w:val="00FA0C5D"/>
    <w:rsid w:val="00FA10E9"/>
    <w:rsid w:val="00FA1828"/>
    <w:rsid w:val="00FA1E64"/>
    <w:rsid w:val="00FA281C"/>
    <w:rsid w:val="00FA3485"/>
    <w:rsid w:val="00FA354B"/>
    <w:rsid w:val="00FA37E5"/>
    <w:rsid w:val="00FA5142"/>
    <w:rsid w:val="00FB02D3"/>
    <w:rsid w:val="00FB0AE4"/>
    <w:rsid w:val="00FB18C9"/>
    <w:rsid w:val="00FB1961"/>
    <w:rsid w:val="00FB21DE"/>
    <w:rsid w:val="00FB268C"/>
    <w:rsid w:val="00FB2A75"/>
    <w:rsid w:val="00FB2FE8"/>
    <w:rsid w:val="00FB3FB9"/>
    <w:rsid w:val="00FB446B"/>
    <w:rsid w:val="00FB5AA4"/>
    <w:rsid w:val="00FB5B8B"/>
    <w:rsid w:val="00FB61E8"/>
    <w:rsid w:val="00FB6376"/>
    <w:rsid w:val="00FB6775"/>
    <w:rsid w:val="00FB67E1"/>
    <w:rsid w:val="00FB68DF"/>
    <w:rsid w:val="00FB7006"/>
    <w:rsid w:val="00FB72E0"/>
    <w:rsid w:val="00FB7701"/>
    <w:rsid w:val="00FC034B"/>
    <w:rsid w:val="00FC06E1"/>
    <w:rsid w:val="00FC10C5"/>
    <w:rsid w:val="00FC11F5"/>
    <w:rsid w:val="00FC12C4"/>
    <w:rsid w:val="00FC1397"/>
    <w:rsid w:val="00FC1EFD"/>
    <w:rsid w:val="00FC3952"/>
    <w:rsid w:val="00FC45EA"/>
    <w:rsid w:val="00FC479B"/>
    <w:rsid w:val="00FC4890"/>
    <w:rsid w:val="00FC67F2"/>
    <w:rsid w:val="00FC73B0"/>
    <w:rsid w:val="00FC7B65"/>
    <w:rsid w:val="00FD0FB2"/>
    <w:rsid w:val="00FD162E"/>
    <w:rsid w:val="00FD217D"/>
    <w:rsid w:val="00FD21C5"/>
    <w:rsid w:val="00FD26DA"/>
    <w:rsid w:val="00FD26F1"/>
    <w:rsid w:val="00FD2F19"/>
    <w:rsid w:val="00FD368B"/>
    <w:rsid w:val="00FD3A9D"/>
    <w:rsid w:val="00FD4901"/>
    <w:rsid w:val="00FD6562"/>
    <w:rsid w:val="00FD7593"/>
    <w:rsid w:val="00FD7ED2"/>
    <w:rsid w:val="00FE167C"/>
    <w:rsid w:val="00FE2144"/>
    <w:rsid w:val="00FE45FF"/>
    <w:rsid w:val="00FE4BB5"/>
    <w:rsid w:val="00FE4C66"/>
    <w:rsid w:val="00FF013E"/>
    <w:rsid w:val="00FF071F"/>
    <w:rsid w:val="00FF0AF5"/>
    <w:rsid w:val="00FF131A"/>
    <w:rsid w:val="00FF17F7"/>
    <w:rsid w:val="00FF1E79"/>
    <w:rsid w:val="00FF1F2F"/>
    <w:rsid w:val="00FF2BA2"/>
    <w:rsid w:val="00FF536B"/>
    <w:rsid w:val="00FF59F6"/>
    <w:rsid w:val="00FF649A"/>
    <w:rsid w:val="00FF6573"/>
    <w:rsid w:val="00FF67EC"/>
    <w:rsid w:val="00FF69E7"/>
    <w:rsid w:val="00FF6CB4"/>
    <w:rsid w:val="00FF727A"/>
    <w:rsid w:val="00FF72EE"/>
    <w:rsid w:val="00FF747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style="mso-position-vertical-relative:line"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header" w:uiPriority="99"/>
    <w:lsdException w:name="footer" w:uiPriority="99"/>
    <w:lsdException w:name="caption"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B009E"/>
  </w:style>
  <w:style w:type="paragraph" w:styleId="Titolo1">
    <w:name w:val="heading 1"/>
    <w:aliases w:val="Titolo 1 Carattere2,Titolo 1 Carattere1 Carattere,Titolo 1 Carattere Carattere Carattere,Titolo 1 Carattere2 Carattere Carattere Carattere,Titolo 1 Carattere1 Carattere Carattere Carattere Carattere,Titolo 1 Carattere Carattere1"/>
    <w:basedOn w:val="Normale"/>
    <w:next w:val="Normale"/>
    <w:link w:val="Titolo1Carattere"/>
    <w:autoRedefine/>
    <w:qFormat/>
    <w:rsid w:val="00A93677"/>
    <w:pPr>
      <w:suppressAutoHyphens/>
      <w:spacing w:after="240"/>
      <w:ind w:right="-143"/>
      <w:outlineLvl w:val="0"/>
    </w:pPr>
    <w:rPr>
      <w:rFonts w:ascii="Arial" w:hAnsi="Arial" w:cs="Arial"/>
      <w:b/>
      <w:bCs/>
      <w:smallCaps/>
      <w:noProof/>
      <w:color w:val="000080"/>
      <w:sz w:val="24"/>
      <w:szCs w:val="24"/>
    </w:rPr>
  </w:style>
  <w:style w:type="paragraph" w:styleId="Titolo2">
    <w:name w:val="heading 2"/>
    <w:aliases w:val="Titolo 2 Carattere,Titolo 4 + corsivo Carattere,Titolo 4 + corsivo"/>
    <w:basedOn w:val="Normale"/>
    <w:next w:val="Normale"/>
    <w:link w:val="Titolo2Carattere1"/>
    <w:autoRedefine/>
    <w:qFormat/>
    <w:rsid w:val="006D6367"/>
    <w:pPr>
      <w:suppressAutoHyphens/>
      <w:outlineLvl w:val="1"/>
    </w:pPr>
    <w:rPr>
      <w:rFonts w:ascii="Arial" w:hAnsi="Arial" w:cs="Arial"/>
      <w:b/>
      <w:snapToGrid w:val="0"/>
      <w:color w:val="000080"/>
      <w:lang w:eastAsia="en-US"/>
    </w:rPr>
  </w:style>
  <w:style w:type="paragraph" w:styleId="Titolo3">
    <w:name w:val="heading 3"/>
    <w:aliases w:val="Titolo 3 Carattere"/>
    <w:basedOn w:val="Normale"/>
    <w:next w:val="Normale"/>
    <w:link w:val="Titolo3Carattere1"/>
    <w:autoRedefine/>
    <w:qFormat/>
    <w:rsid w:val="00FD2F19"/>
    <w:pPr>
      <w:keepNext/>
      <w:spacing w:before="240" w:after="120"/>
      <w:ind w:right="-1"/>
      <w:outlineLvl w:val="2"/>
    </w:pPr>
    <w:rPr>
      <w:rFonts w:ascii="Arial" w:hAnsi="Arial" w:cs="Arial"/>
      <w:b/>
      <w:noProof/>
      <w:color w:val="000080"/>
      <w:sz w:val="22"/>
      <w:szCs w:val="22"/>
    </w:rPr>
  </w:style>
  <w:style w:type="paragraph" w:styleId="Titolo4">
    <w:name w:val="heading 4"/>
    <w:basedOn w:val="Normale"/>
    <w:next w:val="Normale"/>
    <w:qFormat/>
    <w:pPr>
      <w:keepNext/>
      <w:outlineLvl w:val="3"/>
    </w:pPr>
    <w:rPr>
      <w:i/>
      <w:iCs/>
    </w:rPr>
  </w:style>
  <w:style w:type="paragraph" w:styleId="Titolo5">
    <w:name w:val="heading 5"/>
    <w:basedOn w:val="Normale"/>
    <w:next w:val="Normale"/>
    <w:qFormat/>
    <w:pPr>
      <w:keepNext/>
      <w:ind w:right="1"/>
      <w:outlineLvl w:val="4"/>
    </w:pPr>
    <w:rPr>
      <w:i/>
    </w:rPr>
  </w:style>
  <w:style w:type="paragraph" w:styleId="Titolo6">
    <w:name w:val="heading 6"/>
    <w:basedOn w:val="Normale"/>
    <w:next w:val="Normale"/>
    <w:qFormat/>
    <w:pPr>
      <w:keepNext/>
      <w:spacing w:after="240"/>
      <w:jc w:val="both"/>
      <w:outlineLvl w:val="5"/>
    </w:pPr>
    <w:rPr>
      <w:rFonts w:ascii="Arial" w:hAnsi="Arial" w:cs="Arial"/>
      <w:b/>
      <w:bCs/>
      <w:smallCaps/>
      <w:color w:val="000000"/>
      <w:sz w:val="24"/>
      <w:szCs w:val="24"/>
    </w:rPr>
  </w:style>
  <w:style w:type="paragraph" w:styleId="Titolo7">
    <w:name w:val="heading 7"/>
    <w:basedOn w:val="Normale"/>
    <w:next w:val="Normale"/>
    <w:qFormat/>
    <w:pPr>
      <w:keepNext/>
      <w:jc w:val="both"/>
      <w:outlineLvl w:val="6"/>
    </w:pPr>
    <w:rPr>
      <w:rFonts w:ascii="TimesNewRoman,Italic" w:hAnsi="TimesNewRoman,Italic"/>
      <w:i/>
      <w:snapToGrid w:val="0"/>
      <w:color w:val="000000"/>
    </w:rPr>
  </w:style>
  <w:style w:type="paragraph" w:styleId="Titolo8">
    <w:name w:val="heading 8"/>
    <w:basedOn w:val="Normale"/>
    <w:next w:val="Normale"/>
    <w:qFormat/>
    <w:pPr>
      <w:keepNext/>
      <w:spacing w:line="360" w:lineRule="auto"/>
      <w:jc w:val="both"/>
      <w:outlineLvl w:val="7"/>
    </w:pPr>
    <w:rPr>
      <w:rFonts w:ascii="Verdana" w:hAnsi="Verdana"/>
      <w:i/>
      <w:iCs/>
      <w:sz w:val="24"/>
      <w:u w:val="single"/>
    </w:rPr>
  </w:style>
  <w:style w:type="paragraph" w:styleId="Titolo9">
    <w:name w:val="heading 9"/>
    <w:basedOn w:val="Normale"/>
    <w:next w:val="Normale"/>
    <w:qFormat/>
    <w:pPr>
      <w:keepNext/>
      <w:ind w:left="708" w:firstLine="708"/>
      <w:outlineLvl w:val="8"/>
    </w:pPr>
    <w:rPr>
      <w:i/>
      <w:iCs/>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untoelenco2">
    <w:name w:val="List Bullet 2"/>
    <w:basedOn w:val="Normale"/>
    <w:autoRedefine/>
    <w:pPr>
      <w:keepNext/>
      <w:numPr>
        <w:numId w:val="1"/>
      </w:numPr>
      <w:tabs>
        <w:tab w:val="clear" w:pos="360"/>
        <w:tab w:val="num" w:pos="-2694"/>
      </w:tabs>
      <w:spacing w:line="360" w:lineRule="auto"/>
      <w:ind w:left="284" w:hanging="284"/>
    </w:pPr>
    <w:rPr>
      <w:b/>
      <w:sz w:val="24"/>
    </w:rPr>
  </w:style>
  <w:style w:type="paragraph" w:styleId="Corpotesto">
    <w:name w:val="Body Text"/>
    <w:aliases w:val="Corpo del testo Carattere1,Corpo del testo Carattere1 Carattere"/>
    <w:basedOn w:val="Normale"/>
    <w:link w:val="CorpotestoCarattere"/>
    <w:pPr>
      <w:widowControl w:val="0"/>
      <w:jc w:val="both"/>
    </w:pPr>
    <w:rPr>
      <w:snapToGrid w:val="0"/>
      <w:sz w:val="24"/>
    </w:rPr>
  </w:style>
  <w:style w:type="paragraph" w:styleId="Rientrocorpodeltesto">
    <w:name w:val="Body Text Indent"/>
    <w:basedOn w:val="Normale"/>
    <w:pPr>
      <w:ind w:left="426"/>
      <w:jc w:val="both"/>
    </w:pPr>
    <w:rPr>
      <w:sz w:val="24"/>
    </w:rPr>
  </w:style>
  <w:style w:type="paragraph" w:styleId="Didascalia">
    <w:name w:val="caption"/>
    <w:basedOn w:val="Normale"/>
    <w:next w:val="Normale"/>
    <w:qFormat/>
    <w:pPr>
      <w:spacing w:line="360" w:lineRule="auto"/>
      <w:jc w:val="both"/>
    </w:pPr>
    <w:rPr>
      <w:rFonts w:ascii="Verdana" w:hAnsi="Verdana"/>
      <w:sz w:val="24"/>
    </w:rPr>
  </w:style>
  <w:style w:type="paragraph" w:styleId="Corpodeltesto2">
    <w:name w:val="Body Text 2"/>
    <w:aliases w:val=" Carattere"/>
    <w:basedOn w:val="Normale"/>
    <w:link w:val="Corpodeltesto2Carattere"/>
    <w:pPr>
      <w:jc w:val="both"/>
    </w:pPr>
    <w:rPr>
      <w:b/>
      <w:sz w:val="24"/>
    </w:rPr>
  </w:style>
  <w:style w:type="paragraph" w:styleId="Intestazione">
    <w:name w:val="header"/>
    <w:aliases w:val=" Carattere1,Carattere1,Intestazione Carattere2 Carattere,Intestazione Carattere Carattere1 Carattere,Carattere1 Carattere Carattere Carattere,Intestazione Carattere Carattere Carattere Carattere"/>
    <w:basedOn w:val="Normale"/>
    <w:link w:val="IntestazioneCarattere"/>
    <w:uiPriority w:val="99"/>
    <w:pPr>
      <w:tabs>
        <w:tab w:val="center" w:pos="4819"/>
        <w:tab w:val="right" w:pos="9638"/>
      </w:tabs>
    </w:pPr>
  </w:style>
  <w:style w:type="character" w:styleId="Numeropagina">
    <w:name w:val="page number"/>
    <w:basedOn w:val="Carpredefinitoparagrafo"/>
  </w:style>
  <w:style w:type="paragraph" w:styleId="Pidipagina">
    <w:name w:val="footer"/>
    <w:basedOn w:val="Normale"/>
    <w:uiPriority w:val="99"/>
    <w:pPr>
      <w:tabs>
        <w:tab w:val="center" w:pos="4819"/>
        <w:tab w:val="right" w:pos="9638"/>
      </w:tabs>
    </w:pPr>
  </w:style>
  <w:style w:type="paragraph" w:styleId="Testonotaapidipagina">
    <w:name w:val="footnote text"/>
    <w:aliases w:val=" Carattere4,Carattere4,Carattere,Testo nota a piè di pagina Carattere1,Testo_note Carattere Carattere,rr_Testo nota a piè di pagina,rr_Testo nota a piè di pagina1,rr_Testo nota a piè di pagina2,rr_Testo nota a piè di pagina3"/>
    <w:basedOn w:val="Normale"/>
    <w:link w:val="TestonotaapidipaginaCarattere"/>
    <w:uiPriority w:val="99"/>
  </w:style>
  <w:style w:type="character" w:styleId="Rimandonotaapidipagina">
    <w:name w:val="footnote reference"/>
    <w:aliases w:val="(Footnote Reference),SUPERS,EN Footnote Reference,Footnote symbol,Footnote reference number,note TESI,Footnote,Footnote number,fr,o,Footnotemark,FR,Footnotemark1,Footnotemark2,FR1,Footnotemark3,FR2,Footnotemark4,FR3,FR4"/>
    <w:uiPriority w:val="99"/>
    <w:rPr>
      <w:vertAlign w:val="superscript"/>
    </w:rPr>
  </w:style>
  <w:style w:type="paragraph" w:styleId="Corpodeltesto3">
    <w:name w:val="Body Text 3"/>
    <w:basedOn w:val="Normale"/>
    <w:pPr>
      <w:jc w:val="both"/>
    </w:pPr>
    <w:rPr>
      <w:i/>
      <w:iCs/>
      <w:sz w:val="24"/>
    </w:rPr>
  </w:style>
  <w:style w:type="paragraph" w:styleId="Testonormale">
    <w:name w:val="Plain Text"/>
    <w:basedOn w:val="Normale"/>
    <w:link w:val="TestonormaleCarattere"/>
    <w:uiPriority w:val="99"/>
    <w:pPr>
      <w:spacing w:after="120" w:line="360" w:lineRule="auto"/>
    </w:pPr>
    <w:rPr>
      <w:sz w:val="24"/>
    </w:rPr>
  </w:style>
  <w:style w:type="paragraph" w:styleId="Sommario1">
    <w:name w:val="toc 1"/>
    <w:basedOn w:val="Normale"/>
    <w:next w:val="Normale"/>
    <w:autoRedefine/>
    <w:uiPriority w:val="39"/>
    <w:rsid w:val="00FB18C9"/>
    <w:pPr>
      <w:tabs>
        <w:tab w:val="right" w:leader="dot" w:pos="8495"/>
      </w:tabs>
      <w:spacing w:before="120" w:after="120"/>
    </w:pPr>
    <w:rPr>
      <w:rFonts w:ascii="Arial" w:hAnsi="Arial" w:cs="Arial"/>
      <w:b/>
      <w:bCs/>
      <w:caps/>
      <w:noProof/>
      <w:snapToGrid w:val="0"/>
      <w:color w:val="000080"/>
      <w:sz w:val="18"/>
      <w:szCs w:val="18"/>
    </w:rPr>
  </w:style>
  <w:style w:type="paragraph" w:styleId="Sommario2">
    <w:name w:val="toc 2"/>
    <w:basedOn w:val="Normale"/>
    <w:next w:val="Normale"/>
    <w:autoRedefine/>
    <w:uiPriority w:val="39"/>
    <w:rsid w:val="009D1FAA"/>
    <w:pPr>
      <w:tabs>
        <w:tab w:val="left" w:pos="567"/>
        <w:tab w:val="right" w:leader="dot" w:pos="8495"/>
      </w:tabs>
      <w:spacing w:after="240"/>
      <w:ind w:left="142"/>
    </w:pPr>
    <w:rPr>
      <w:rFonts w:ascii="Arial" w:hAnsi="Arial" w:cs="Arial"/>
      <w:b/>
      <w:smallCaps/>
      <w:noProof/>
      <w:sz w:val="16"/>
      <w:szCs w:val="16"/>
    </w:rPr>
  </w:style>
  <w:style w:type="paragraph" w:styleId="Sommario3">
    <w:name w:val="toc 3"/>
    <w:basedOn w:val="Normale"/>
    <w:next w:val="Normale"/>
    <w:autoRedefine/>
    <w:uiPriority w:val="39"/>
    <w:rsid w:val="001A2CB6"/>
    <w:pPr>
      <w:tabs>
        <w:tab w:val="right" w:leader="dot" w:pos="8495"/>
      </w:tabs>
      <w:spacing w:after="20"/>
      <w:ind w:left="850" w:hanging="425"/>
    </w:pPr>
    <w:rPr>
      <w:rFonts w:ascii="Arial" w:hAnsi="Arial" w:cs="Arial"/>
      <w:iCs/>
      <w:noProof/>
      <w:sz w:val="16"/>
      <w:szCs w:val="16"/>
    </w:rPr>
  </w:style>
  <w:style w:type="paragraph" w:styleId="Sommario4">
    <w:name w:val="toc 4"/>
    <w:basedOn w:val="Normale"/>
    <w:next w:val="Normale"/>
    <w:autoRedefine/>
    <w:uiPriority w:val="39"/>
    <w:rsid w:val="00CC454F"/>
    <w:pPr>
      <w:tabs>
        <w:tab w:val="right" w:leader="dot" w:pos="8494"/>
      </w:tabs>
      <w:ind w:left="284"/>
    </w:pPr>
    <w:rPr>
      <w:rFonts w:ascii="Arial" w:hAnsi="Arial" w:cs="Arial"/>
      <w:b/>
      <w:noProof/>
      <w:sz w:val="16"/>
      <w:szCs w:val="16"/>
    </w:rPr>
  </w:style>
  <w:style w:type="paragraph" w:styleId="Sommario5">
    <w:name w:val="toc 5"/>
    <w:basedOn w:val="Normale"/>
    <w:next w:val="Normale"/>
    <w:autoRedefine/>
    <w:semiHidden/>
    <w:pPr>
      <w:ind w:left="800"/>
    </w:pPr>
  </w:style>
  <w:style w:type="paragraph" w:styleId="Sommario6">
    <w:name w:val="toc 6"/>
    <w:basedOn w:val="Normale"/>
    <w:next w:val="Normale"/>
    <w:autoRedefine/>
    <w:semiHidden/>
    <w:pPr>
      <w:ind w:left="1000"/>
    </w:pPr>
  </w:style>
  <w:style w:type="paragraph" w:styleId="Sommario7">
    <w:name w:val="toc 7"/>
    <w:basedOn w:val="Normale"/>
    <w:next w:val="Normale"/>
    <w:autoRedefine/>
    <w:semiHidden/>
    <w:pPr>
      <w:ind w:left="1200"/>
    </w:pPr>
  </w:style>
  <w:style w:type="paragraph" w:styleId="Sommario8">
    <w:name w:val="toc 8"/>
    <w:basedOn w:val="Normale"/>
    <w:next w:val="Normale"/>
    <w:autoRedefine/>
    <w:semiHidden/>
    <w:pPr>
      <w:ind w:left="1400"/>
    </w:pPr>
  </w:style>
  <w:style w:type="paragraph" w:styleId="Sommario9">
    <w:name w:val="toc 9"/>
    <w:basedOn w:val="Normale"/>
    <w:next w:val="Normale"/>
    <w:autoRedefine/>
    <w:semiHidden/>
    <w:pPr>
      <w:ind w:left="1600"/>
    </w:pPr>
  </w:style>
  <w:style w:type="character" w:styleId="Collegamentoipertestuale">
    <w:name w:val="Hyperlink"/>
    <w:uiPriority w:val="99"/>
    <w:rPr>
      <w:color w:val="0000FF"/>
      <w:u w:val="single"/>
    </w:rPr>
  </w:style>
  <w:style w:type="paragraph" w:styleId="Rientrocorpodeltesto2">
    <w:name w:val="Body Text Indent 2"/>
    <w:basedOn w:val="Normale"/>
    <w:pPr>
      <w:spacing w:after="240"/>
      <w:ind w:left="543" w:firstLine="567"/>
      <w:jc w:val="both"/>
    </w:pPr>
    <w:rPr>
      <w:rFonts w:ascii="Verdana" w:hAnsi="Verdana"/>
      <w:b/>
      <w:bCs/>
      <w:sz w:val="24"/>
      <w:szCs w:val="24"/>
    </w:rPr>
  </w:style>
  <w:style w:type="paragraph" w:styleId="Rientrocorpodeltesto3">
    <w:name w:val="Body Text Indent 3"/>
    <w:basedOn w:val="Normale"/>
    <w:pPr>
      <w:spacing w:after="240"/>
      <w:ind w:firstLine="543"/>
      <w:jc w:val="both"/>
    </w:pPr>
    <w:rPr>
      <w:rFonts w:ascii="Tahoma" w:hAnsi="Tahoma" w:cs="Tahoma"/>
      <w:bCs/>
      <w:sz w:val="24"/>
      <w:szCs w:val="24"/>
    </w:rPr>
  </w:style>
  <w:style w:type="character" w:styleId="Collegamentovisitato">
    <w:name w:val="FollowedHyperlink"/>
    <w:rPr>
      <w:color w:val="800080"/>
      <w:u w:val="single"/>
    </w:rPr>
  </w:style>
  <w:style w:type="paragraph" w:customStyle="1" w:styleId="xl25">
    <w:name w:val="xl25"/>
    <w:basedOn w:val="Normale"/>
    <w:pPr>
      <w:spacing w:before="100" w:beforeAutospacing="1" w:after="100" w:afterAutospacing="1"/>
    </w:pPr>
    <w:rPr>
      <w:rFonts w:ascii="Arial Unicode MS" w:eastAsia="Arial Unicode MS" w:hAnsi="Arial Unicode MS" w:cs="Arial Unicode MS"/>
      <w:sz w:val="24"/>
      <w:szCs w:val="24"/>
    </w:rPr>
  </w:style>
  <w:style w:type="paragraph" w:customStyle="1" w:styleId="xl26">
    <w:name w:val="xl26"/>
    <w:basedOn w:val="Normale"/>
    <w:pPr>
      <w:spacing w:before="100" w:beforeAutospacing="1" w:after="100" w:afterAutospacing="1"/>
    </w:pPr>
    <w:rPr>
      <w:rFonts w:eastAsia="Arial Unicode MS"/>
      <w:sz w:val="24"/>
      <w:szCs w:val="24"/>
    </w:rPr>
  </w:style>
  <w:style w:type="paragraph" w:customStyle="1" w:styleId="xl27">
    <w:name w:val="xl27"/>
    <w:basedOn w:val="Normale"/>
    <w:pPr>
      <w:pBdr>
        <w:top w:val="single" w:sz="4" w:space="0" w:color="auto"/>
        <w:bottom w:val="single" w:sz="4" w:space="0" w:color="auto"/>
      </w:pBdr>
      <w:spacing w:before="100" w:beforeAutospacing="1" w:after="100" w:afterAutospacing="1"/>
      <w:jc w:val="right"/>
      <w:textAlignment w:val="center"/>
    </w:pPr>
    <w:rPr>
      <w:rFonts w:eastAsia="Arial Unicode MS"/>
      <w:b/>
      <w:bCs/>
      <w:sz w:val="24"/>
      <w:szCs w:val="24"/>
    </w:rPr>
  </w:style>
  <w:style w:type="paragraph" w:customStyle="1" w:styleId="xl28">
    <w:name w:val="xl28"/>
    <w:basedOn w:val="Normale"/>
    <w:pPr>
      <w:pBdr>
        <w:top w:val="single" w:sz="4" w:space="0" w:color="auto"/>
        <w:bottom w:val="single" w:sz="4" w:space="0" w:color="auto"/>
      </w:pBdr>
      <w:spacing w:before="100" w:beforeAutospacing="1" w:after="100" w:afterAutospacing="1"/>
      <w:textAlignment w:val="center"/>
    </w:pPr>
    <w:rPr>
      <w:rFonts w:eastAsia="Arial Unicode MS"/>
      <w:b/>
      <w:bCs/>
      <w:sz w:val="24"/>
      <w:szCs w:val="24"/>
    </w:rPr>
  </w:style>
  <w:style w:type="paragraph" w:customStyle="1" w:styleId="xl29">
    <w:name w:val="xl29"/>
    <w:basedOn w:val="Normale"/>
    <w:pPr>
      <w:spacing w:before="100" w:beforeAutospacing="1" w:after="100" w:afterAutospacing="1"/>
    </w:pPr>
    <w:rPr>
      <w:rFonts w:eastAsia="Arial Unicode MS"/>
      <w:b/>
      <w:bCs/>
      <w:sz w:val="24"/>
      <w:szCs w:val="24"/>
    </w:rPr>
  </w:style>
  <w:style w:type="paragraph" w:customStyle="1" w:styleId="xl30">
    <w:name w:val="xl30"/>
    <w:basedOn w:val="Normale"/>
    <w:pPr>
      <w:spacing w:before="100" w:beforeAutospacing="1" w:after="100" w:afterAutospacing="1"/>
    </w:pPr>
    <w:rPr>
      <w:rFonts w:eastAsia="Arial Unicode MS"/>
      <w:b/>
      <w:bCs/>
      <w:sz w:val="24"/>
      <w:szCs w:val="24"/>
    </w:rPr>
  </w:style>
  <w:style w:type="paragraph" w:customStyle="1" w:styleId="xl31">
    <w:name w:val="xl31"/>
    <w:basedOn w:val="Normale"/>
    <w:pPr>
      <w:spacing w:before="100" w:beforeAutospacing="1" w:after="100" w:afterAutospacing="1"/>
    </w:pPr>
    <w:rPr>
      <w:rFonts w:eastAsia="Arial Unicode MS"/>
      <w:sz w:val="24"/>
      <w:szCs w:val="24"/>
    </w:rPr>
  </w:style>
  <w:style w:type="paragraph" w:customStyle="1" w:styleId="xl32">
    <w:name w:val="xl32"/>
    <w:basedOn w:val="Normale"/>
    <w:pPr>
      <w:spacing w:before="100" w:beforeAutospacing="1" w:after="100" w:afterAutospacing="1"/>
    </w:pPr>
    <w:rPr>
      <w:rFonts w:eastAsia="Arial Unicode MS"/>
      <w:i/>
      <w:iCs/>
      <w:sz w:val="24"/>
      <w:szCs w:val="24"/>
    </w:rPr>
  </w:style>
  <w:style w:type="paragraph" w:customStyle="1" w:styleId="xl33">
    <w:name w:val="xl33"/>
    <w:basedOn w:val="Normale"/>
    <w:pPr>
      <w:spacing w:before="100" w:beforeAutospacing="1" w:after="100" w:afterAutospacing="1"/>
    </w:pPr>
    <w:rPr>
      <w:rFonts w:eastAsia="Arial Unicode MS"/>
      <w:i/>
      <w:iCs/>
      <w:sz w:val="24"/>
      <w:szCs w:val="24"/>
    </w:rPr>
  </w:style>
  <w:style w:type="paragraph" w:customStyle="1" w:styleId="xl34">
    <w:name w:val="xl34"/>
    <w:basedOn w:val="Normale"/>
    <w:pPr>
      <w:spacing w:before="100" w:beforeAutospacing="1" w:after="100" w:afterAutospacing="1"/>
    </w:pPr>
    <w:rPr>
      <w:rFonts w:eastAsia="Arial Unicode MS"/>
      <w:b/>
      <w:bCs/>
      <w:sz w:val="24"/>
      <w:szCs w:val="24"/>
    </w:rPr>
  </w:style>
  <w:style w:type="paragraph" w:customStyle="1" w:styleId="xl35">
    <w:name w:val="xl35"/>
    <w:basedOn w:val="Normale"/>
    <w:pPr>
      <w:spacing w:before="100" w:beforeAutospacing="1" w:after="100" w:afterAutospacing="1"/>
    </w:pPr>
    <w:rPr>
      <w:rFonts w:eastAsia="Arial Unicode MS"/>
      <w:sz w:val="24"/>
      <w:szCs w:val="24"/>
    </w:rPr>
  </w:style>
  <w:style w:type="paragraph" w:customStyle="1" w:styleId="xl36">
    <w:name w:val="xl36"/>
    <w:basedOn w:val="Normale"/>
    <w:pPr>
      <w:spacing w:before="100" w:beforeAutospacing="1" w:after="100" w:afterAutospacing="1"/>
    </w:pPr>
    <w:rPr>
      <w:rFonts w:eastAsia="Arial Unicode MS"/>
      <w:i/>
      <w:iCs/>
      <w:sz w:val="24"/>
      <w:szCs w:val="24"/>
    </w:rPr>
  </w:style>
  <w:style w:type="paragraph" w:customStyle="1" w:styleId="xl37">
    <w:name w:val="xl37"/>
    <w:basedOn w:val="Normale"/>
    <w:pPr>
      <w:pBdr>
        <w:bottom w:val="single" w:sz="4" w:space="0" w:color="auto"/>
      </w:pBdr>
      <w:spacing w:before="100" w:beforeAutospacing="1" w:after="100" w:afterAutospacing="1"/>
    </w:pPr>
    <w:rPr>
      <w:rFonts w:eastAsia="Arial Unicode MS"/>
      <w:sz w:val="24"/>
      <w:szCs w:val="24"/>
    </w:rPr>
  </w:style>
  <w:style w:type="paragraph" w:customStyle="1" w:styleId="xl38">
    <w:name w:val="xl38"/>
    <w:basedOn w:val="Normale"/>
    <w:pPr>
      <w:spacing w:before="100" w:beforeAutospacing="1" w:after="100" w:afterAutospacing="1"/>
    </w:pPr>
    <w:rPr>
      <w:rFonts w:eastAsia="Arial Unicode MS"/>
      <w:i/>
      <w:iCs/>
      <w:sz w:val="24"/>
      <w:szCs w:val="24"/>
    </w:rPr>
  </w:style>
  <w:style w:type="paragraph" w:customStyle="1" w:styleId="xl39">
    <w:name w:val="xl39"/>
    <w:basedOn w:val="Normale"/>
    <w:pPr>
      <w:spacing w:before="100" w:beforeAutospacing="1" w:after="100" w:afterAutospacing="1"/>
      <w:jc w:val="center"/>
    </w:pPr>
    <w:rPr>
      <w:rFonts w:eastAsia="Arial Unicode MS"/>
      <w:sz w:val="24"/>
      <w:szCs w:val="24"/>
    </w:rPr>
  </w:style>
  <w:style w:type="paragraph" w:customStyle="1" w:styleId="xl40">
    <w:name w:val="xl40"/>
    <w:basedOn w:val="Normale"/>
    <w:pPr>
      <w:pBdr>
        <w:top w:val="single" w:sz="4" w:space="0" w:color="auto"/>
      </w:pBdr>
      <w:spacing w:before="100" w:beforeAutospacing="1" w:after="100" w:afterAutospacing="1"/>
      <w:jc w:val="center"/>
    </w:pPr>
    <w:rPr>
      <w:rFonts w:eastAsia="Arial Unicode MS"/>
      <w:sz w:val="24"/>
      <w:szCs w:val="24"/>
    </w:rPr>
  </w:style>
  <w:style w:type="paragraph" w:customStyle="1" w:styleId="xl41">
    <w:name w:val="xl41"/>
    <w:basedOn w:val="Normale"/>
    <w:pPr>
      <w:spacing w:before="100" w:beforeAutospacing="1" w:after="100" w:afterAutospacing="1"/>
    </w:pPr>
    <w:rPr>
      <w:rFonts w:eastAsia="Arial Unicode MS"/>
      <w:i/>
      <w:iCs/>
      <w:sz w:val="24"/>
      <w:szCs w:val="24"/>
    </w:rPr>
  </w:style>
  <w:style w:type="paragraph" w:customStyle="1" w:styleId="xl42">
    <w:name w:val="xl42"/>
    <w:basedOn w:val="Normale"/>
    <w:pPr>
      <w:spacing w:before="100" w:beforeAutospacing="1" w:after="100" w:afterAutospacing="1"/>
      <w:textAlignment w:val="top"/>
    </w:pPr>
    <w:rPr>
      <w:rFonts w:eastAsia="Arial Unicode MS"/>
      <w:i/>
      <w:iCs/>
      <w:sz w:val="24"/>
      <w:szCs w:val="24"/>
    </w:rPr>
  </w:style>
  <w:style w:type="paragraph" w:customStyle="1" w:styleId="xl43">
    <w:name w:val="xl43"/>
    <w:basedOn w:val="Normale"/>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44">
    <w:name w:val="xl44"/>
    <w:basedOn w:val="Normale"/>
    <w:pPr>
      <w:spacing w:before="100" w:beforeAutospacing="1" w:after="100" w:afterAutospacing="1"/>
      <w:textAlignment w:val="top"/>
    </w:pPr>
    <w:rPr>
      <w:rFonts w:eastAsia="Arial Unicode MS"/>
      <w:i/>
      <w:iCs/>
      <w:sz w:val="24"/>
      <w:szCs w:val="24"/>
    </w:rPr>
  </w:style>
  <w:style w:type="paragraph" w:customStyle="1" w:styleId="xl45">
    <w:name w:val="xl45"/>
    <w:basedOn w:val="Normale"/>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46">
    <w:name w:val="xl46"/>
    <w:basedOn w:val="Normale"/>
    <w:pPr>
      <w:spacing w:before="100" w:beforeAutospacing="1" w:after="100" w:afterAutospacing="1"/>
      <w:textAlignment w:val="top"/>
    </w:pPr>
    <w:rPr>
      <w:rFonts w:eastAsia="Arial Unicode MS"/>
      <w:i/>
      <w:iCs/>
      <w:sz w:val="24"/>
      <w:szCs w:val="24"/>
    </w:rPr>
  </w:style>
  <w:style w:type="paragraph" w:customStyle="1" w:styleId="tx">
    <w:name w:val="tx"/>
    <w:basedOn w:val="Normale"/>
    <w:pPr>
      <w:spacing w:before="20" w:after="20"/>
    </w:pPr>
    <w:rPr>
      <w:rFonts w:ascii="Arial Unicode MS" w:eastAsia="Arial Unicode MS" w:hAnsi="Arial Unicode MS" w:cs="Arial Unicode MS"/>
      <w:sz w:val="24"/>
      <w:szCs w:val="24"/>
    </w:rPr>
  </w:style>
  <w:style w:type="paragraph" w:styleId="Testodelblocco">
    <w:name w:val="Block Text"/>
    <w:basedOn w:val="Normale"/>
    <w:pPr>
      <w:spacing w:before="120"/>
      <w:ind w:left="284" w:right="284"/>
      <w:jc w:val="both"/>
    </w:pPr>
    <w:rPr>
      <w:sz w:val="24"/>
    </w:rPr>
  </w:style>
  <w:style w:type="paragraph" w:customStyle="1" w:styleId="rientro22">
    <w:name w:val="rientro 2/2"/>
    <w:basedOn w:val="Normale"/>
    <w:pPr>
      <w:ind w:left="680"/>
      <w:jc w:val="both"/>
    </w:pPr>
    <w:rPr>
      <w:rFonts w:ascii="Courier" w:hAnsi="Courier"/>
      <w:sz w:val="24"/>
    </w:rPr>
  </w:style>
  <w:style w:type="paragraph" w:customStyle="1" w:styleId="firma">
    <w:name w:val="firma"/>
    <w:basedOn w:val="Normale"/>
    <w:pPr>
      <w:tabs>
        <w:tab w:val="center" w:pos="9072"/>
      </w:tabs>
      <w:jc w:val="both"/>
    </w:pPr>
    <w:rPr>
      <w:rFonts w:ascii="Courier" w:hAnsi="Courier"/>
      <w:sz w:val="24"/>
    </w:rPr>
  </w:style>
  <w:style w:type="paragraph" w:customStyle="1" w:styleId="font5">
    <w:name w:val="font5"/>
    <w:basedOn w:val="Normale"/>
    <w:pPr>
      <w:spacing w:before="100" w:beforeAutospacing="1" w:after="100" w:afterAutospacing="1"/>
    </w:pPr>
    <w:rPr>
      <w:rFonts w:eastAsia="Arial Unicode MS"/>
      <w:b/>
      <w:bCs/>
      <w:sz w:val="22"/>
      <w:szCs w:val="22"/>
    </w:rPr>
  </w:style>
  <w:style w:type="character" w:customStyle="1" w:styleId="CorpodeltestoCarattere">
    <w:name w:val="Corpo del testo Carattere"/>
    <w:rPr>
      <w:sz w:val="24"/>
      <w:lang w:val="it-IT" w:eastAsia="it-IT" w:bidi="ar-SA"/>
    </w:rPr>
  </w:style>
  <w:style w:type="paragraph" w:customStyle="1" w:styleId="StileTitolo2Tahoma12ptNonGrassetto">
    <w:name w:val="Stile Titolo 2 + Tahoma 12 pt Non Grassetto"/>
    <w:basedOn w:val="Titolo2"/>
    <w:pPr>
      <w:spacing w:before="360" w:after="360"/>
    </w:pPr>
    <w:rPr>
      <w:rFonts w:ascii="Tahoma" w:hAnsi="Tahoma"/>
      <w:iCs/>
      <w:szCs w:val="28"/>
    </w:rPr>
  </w:style>
  <w:style w:type="paragraph" w:styleId="Testofumetto">
    <w:name w:val="Balloon Text"/>
    <w:basedOn w:val="Normale"/>
    <w:link w:val="TestofumettoCarattere"/>
    <w:semiHidden/>
    <w:pPr>
      <w:spacing w:after="120"/>
      <w:jc w:val="both"/>
    </w:pPr>
    <w:rPr>
      <w:rFonts w:ascii="Tahoma" w:hAnsi="Tahoma" w:cs="Tahoma"/>
      <w:sz w:val="16"/>
      <w:szCs w:val="16"/>
    </w:rPr>
  </w:style>
  <w:style w:type="paragraph" w:customStyle="1" w:styleId="StileTitolo3NonGrassettoCorsivo">
    <w:name w:val="Stile Titolo 3 + Non Grassetto Corsivo"/>
    <w:basedOn w:val="Titolo3"/>
    <w:rPr>
      <w:rFonts w:ascii="Tahoma" w:hAnsi="Tahoma"/>
      <w:b w:val="0"/>
      <w:bCs/>
      <w:szCs w:val="26"/>
    </w:rPr>
  </w:style>
  <w:style w:type="character" w:customStyle="1" w:styleId="StileTahoma10ptCorsivo">
    <w:name w:val="Stile Tahoma 10 pt Corsivo"/>
    <w:rPr>
      <w:i/>
      <w:iCs/>
      <w:sz w:val="20"/>
    </w:rPr>
  </w:style>
  <w:style w:type="character" w:customStyle="1" w:styleId="StileCorsivo">
    <w:name w:val="Stile Corsivo"/>
    <w:rPr>
      <w:i/>
      <w:iCs/>
    </w:rPr>
  </w:style>
  <w:style w:type="paragraph" w:customStyle="1" w:styleId="Corpodeltesto21">
    <w:name w:val="Corpo del testo 21"/>
    <w:basedOn w:val="Normale"/>
    <w:pPr>
      <w:spacing w:before="240"/>
      <w:jc w:val="both"/>
    </w:pPr>
    <w:rPr>
      <w:rFonts w:ascii="Arial Narrow" w:hAnsi="Arial Narrow"/>
      <w:sz w:val="24"/>
    </w:rPr>
  </w:style>
  <w:style w:type="paragraph" w:styleId="Sottotitolo">
    <w:name w:val="Subtitle"/>
    <w:basedOn w:val="Normale"/>
    <w:qFormat/>
    <w:pPr>
      <w:jc w:val="both"/>
    </w:pPr>
    <w:rPr>
      <w:b/>
      <w:sz w:val="24"/>
    </w:rPr>
  </w:style>
  <w:style w:type="paragraph" w:customStyle="1" w:styleId="titolo40">
    <w:name w:val="titolo 4"/>
    <w:basedOn w:val="Normale"/>
    <w:pPr>
      <w:spacing w:after="120"/>
    </w:pPr>
    <w:rPr>
      <w:rFonts w:ascii="Tahoma" w:hAnsi="Tahoma"/>
      <w:b/>
      <w:i/>
      <w:smallCaps/>
      <w:sz w:val="28"/>
      <w:szCs w:val="24"/>
    </w:rPr>
  </w:style>
  <w:style w:type="paragraph" w:customStyle="1" w:styleId="Stile1">
    <w:name w:val="Stile1"/>
    <w:basedOn w:val="Normale"/>
    <w:next w:val="Titolo4"/>
    <w:autoRedefine/>
    <w:pPr>
      <w:ind w:left="360" w:hanging="360"/>
    </w:pPr>
    <w:rPr>
      <w:rFonts w:cs="Tahoma"/>
      <w:i/>
      <w:sz w:val="18"/>
      <w:szCs w:val="18"/>
    </w:rPr>
  </w:style>
  <w:style w:type="paragraph" w:styleId="Data">
    <w:name w:val="Date"/>
    <w:basedOn w:val="Normale"/>
    <w:next w:val="Normale"/>
  </w:style>
  <w:style w:type="paragraph" w:styleId="Elenco">
    <w:name w:val="List"/>
    <w:basedOn w:val="Normale"/>
    <w:pPr>
      <w:ind w:left="283" w:hanging="283"/>
    </w:pPr>
  </w:style>
  <w:style w:type="paragraph" w:styleId="Elenco2">
    <w:name w:val="List 2"/>
    <w:basedOn w:val="Normale"/>
    <w:pPr>
      <w:ind w:left="566" w:hanging="283"/>
    </w:pPr>
  </w:style>
  <w:style w:type="paragraph" w:styleId="Elenco3">
    <w:name w:val="List 3"/>
    <w:basedOn w:val="Normale"/>
    <w:pPr>
      <w:ind w:left="849" w:hanging="283"/>
    </w:pPr>
  </w:style>
  <w:style w:type="paragraph" w:styleId="Elenco4">
    <w:name w:val="List 4"/>
    <w:basedOn w:val="Normale"/>
    <w:pPr>
      <w:ind w:left="1132" w:hanging="283"/>
    </w:pPr>
  </w:style>
  <w:style w:type="paragraph" w:styleId="Elenco5">
    <w:name w:val="List 5"/>
    <w:basedOn w:val="Normale"/>
    <w:pPr>
      <w:ind w:left="1415" w:hanging="283"/>
    </w:pPr>
  </w:style>
  <w:style w:type="paragraph" w:styleId="Elencocontinua">
    <w:name w:val="List Continue"/>
    <w:basedOn w:val="Normale"/>
    <w:pPr>
      <w:spacing w:after="120"/>
      <w:ind w:left="283"/>
    </w:pPr>
  </w:style>
  <w:style w:type="paragraph" w:styleId="Elencocontinua2">
    <w:name w:val="List Continue 2"/>
    <w:basedOn w:val="Normale"/>
    <w:pPr>
      <w:spacing w:after="120"/>
      <w:ind w:left="566"/>
    </w:pPr>
  </w:style>
  <w:style w:type="paragraph" w:styleId="Elencocontinua3">
    <w:name w:val="List Continue 3"/>
    <w:basedOn w:val="Normale"/>
    <w:pPr>
      <w:spacing w:after="120"/>
      <w:ind w:left="849"/>
    </w:pPr>
  </w:style>
  <w:style w:type="paragraph" w:styleId="Elencocontinua4">
    <w:name w:val="List Continue 4"/>
    <w:basedOn w:val="Normale"/>
    <w:pPr>
      <w:spacing w:after="120"/>
      <w:ind w:left="1132"/>
    </w:pPr>
  </w:style>
  <w:style w:type="paragraph" w:styleId="Elencocontinua5">
    <w:name w:val="List Continue 5"/>
    <w:basedOn w:val="Normale"/>
    <w:pPr>
      <w:spacing w:after="120"/>
      <w:ind w:left="1415"/>
    </w:pPr>
  </w:style>
  <w:style w:type="paragraph" w:styleId="Firma0">
    <w:name w:val="Signature"/>
    <w:basedOn w:val="Normale"/>
    <w:pPr>
      <w:ind w:left="4252"/>
    </w:pPr>
  </w:style>
  <w:style w:type="paragraph" w:styleId="Firmadipostaelettronica">
    <w:name w:val="E-mail Signature"/>
    <w:basedOn w:val="Normale"/>
  </w:style>
  <w:style w:type="paragraph" w:styleId="Formuladiapertura">
    <w:name w:val="Salutation"/>
    <w:basedOn w:val="Normale"/>
    <w:next w:val="Normale"/>
  </w:style>
  <w:style w:type="paragraph" w:styleId="Formuladichiusura">
    <w:name w:val="Closing"/>
    <w:basedOn w:val="Normale"/>
    <w:pPr>
      <w:ind w:left="4252"/>
    </w:pPr>
  </w:style>
  <w:style w:type="paragraph" w:styleId="Indice1">
    <w:name w:val="index 1"/>
    <w:basedOn w:val="Normale"/>
    <w:next w:val="Normale"/>
    <w:autoRedefine/>
    <w:semiHidden/>
    <w:pPr>
      <w:ind w:left="200" w:hanging="200"/>
    </w:pPr>
  </w:style>
  <w:style w:type="paragraph" w:styleId="Indice2">
    <w:name w:val="index 2"/>
    <w:basedOn w:val="Normale"/>
    <w:next w:val="Normale"/>
    <w:autoRedefine/>
    <w:semiHidden/>
    <w:pPr>
      <w:ind w:left="400" w:hanging="200"/>
    </w:pPr>
  </w:style>
  <w:style w:type="paragraph" w:styleId="Indice3">
    <w:name w:val="index 3"/>
    <w:basedOn w:val="Normale"/>
    <w:next w:val="Normale"/>
    <w:autoRedefine/>
    <w:semiHidden/>
    <w:pPr>
      <w:ind w:left="600" w:hanging="200"/>
    </w:pPr>
  </w:style>
  <w:style w:type="paragraph" w:styleId="Indice4">
    <w:name w:val="index 4"/>
    <w:basedOn w:val="Normale"/>
    <w:next w:val="Normale"/>
    <w:autoRedefine/>
    <w:semiHidden/>
    <w:pPr>
      <w:ind w:left="800" w:hanging="200"/>
    </w:pPr>
  </w:style>
  <w:style w:type="paragraph" w:styleId="Indice5">
    <w:name w:val="index 5"/>
    <w:basedOn w:val="Normale"/>
    <w:next w:val="Normale"/>
    <w:autoRedefine/>
    <w:semiHidden/>
    <w:pPr>
      <w:ind w:left="1000" w:hanging="200"/>
    </w:pPr>
  </w:style>
  <w:style w:type="paragraph" w:styleId="Indice6">
    <w:name w:val="index 6"/>
    <w:basedOn w:val="Normale"/>
    <w:next w:val="Normale"/>
    <w:autoRedefine/>
    <w:semiHidden/>
    <w:pPr>
      <w:ind w:left="1200" w:hanging="200"/>
    </w:pPr>
  </w:style>
  <w:style w:type="paragraph" w:styleId="Indice7">
    <w:name w:val="index 7"/>
    <w:basedOn w:val="Normale"/>
    <w:next w:val="Normale"/>
    <w:autoRedefine/>
    <w:semiHidden/>
    <w:pPr>
      <w:ind w:left="1400" w:hanging="200"/>
    </w:pPr>
  </w:style>
  <w:style w:type="paragraph" w:styleId="Indice8">
    <w:name w:val="index 8"/>
    <w:basedOn w:val="Normale"/>
    <w:next w:val="Normale"/>
    <w:autoRedefine/>
    <w:semiHidden/>
    <w:pPr>
      <w:ind w:left="1600" w:hanging="200"/>
    </w:pPr>
  </w:style>
  <w:style w:type="paragraph" w:styleId="Indice9">
    <w:name w:val="index 9"/>
    <w:basedOn w:val="Normale"/>
    <w:next w:val="Normale"/>
    <w:autoRedefine/>
    <w:semiHidden/>
    <w:pPr>
      <w:ind w:left="1800" w:hanging="200"/>
    </w:pPr>
  </w:style>
  <w:style w:type="paragraph" w:styleId="Indicedellefigure">
    <w:name w:val="table of figures"/>
    <w:basedOn w:val="Normale"/>
    <w:next w:val="Normale"/>
    <w:semiHidden/>
    <w:pPr>
      <w:ind w:left="400" w:hanging="400"/>
    </w:pPr>
  </w:style>
  <w:style w:type="paragraph" w:styleId="Indicefonti">
    <w:name w:val="table of authorities"/>
    <w:basedOn w:val="Normale"/>
    <w:next w:val="Normale"/>
    <w:semiHidden/>
    <w:pPr>
      <w:ind w:left="200" w:hanging="200"/>
    </w:pPr>
  </w:style>
  <w:style w:type="paragraph" w:styleId="Indirizzodestinatario">
    <w:name w:val="envelope address"/>
    <w:basedOn w:val="Normale"/>
    <w:pPr>
      <w:framePr w:w="7920" w:h="1980" w:hRule="exact" w:hSpace="141" w:wrap="auto" w:hAnchor="page" w:xAlign="center" w:yAlign="bottom"/>
      <w:ind w:left="2880"/>
    </w:pPr>
    <w:rPr>
      <w:rFonts w:ascii="Arial" w:hAnsi="Arial" w:cs="Arial"/>
      <w:sz w:val="24"/>
      <w:szCs w:val="24"/>
    </w:rPr>
  </w:style>
  <w:style w:type="paragraph" w:styleId="IndirizzoHTML">
    <w:name w:val="HTML Address"/>
    <w:basedOn w:val="Normale"/>
    <w:rPr>
      <w:i/>
      <w:iCs/>
    </w:rPr>
  </w:style>
  <w:style w:type="paragraph" w:styleId="Indirizzomittente">
    <w:name w:val="envelope return"/>
    <w:basedOn w:val="Normale"/>
    <w:rPr>
      <w:rFonts w:ascii="Arial" w:hAnsi="Arial" w:cs="Arial"/>
    </w:rPr>
  </w:style>
  <w:style w:type="paragraph" w:styleId="Intestazionemessaggio">
    <w:name w:val="Message Header"/>
    <w:basedOn w:val="Normal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Intestazionenota">
    <w:name w:val="Note Heading"/>
    <w:basedOn w:val="Normale"/>
    <w:next w:val="Normale"/>
  </w:style>
  <w:style w:type="paragraph" w:styleId="Mappadocumento">
    <w:name w:val="Document Map"/>
    <w:basedOn w:val="Normale"/>
    <w:semiHidden/>
    <w:pPr>
      <w:shd w:val="clear" w:color="auto" w:fill="000080"/>
    </w:pPr>
    <w:rPr>
      <w:rFonts w:ascii="Tahoma" w:hAnsi="Tahoma" w:cs="Tahoma"/>
    </w:rPr>
  </w:style>
  <w:style w:type="paragraph" w:styleId="NormaleWeb">
    <w:name w:val="Normal (Web)"/>
    <w:basedOn w:val="Normale"/>
    <w:uiPriority w:val="99"/>
    <w:rPr>
      <w:sz w:val="24"/>
      <w:szCs w:val="24"/>
    </w:rPr>
  </w:style>
  <w:style w:type="paragraph" w:styleId="Numeroelenco">
    <w:name w:val="List Number"/>
    <w:basedOn w:val="Normale"/>
    <w:pPr>
      <w:numPr>
        <w:numId w:val="2"/>
      </w:numPr>
    </w:pPr>
  </w:style>
  <w:style w:type="paragraph" w:styleId="Numeroelenco2">
    <w:name w:val="List Number 2"/>
    <w:basedOn w:val="Normale"/>
    <w:pPr>
      <w:numPr>
        <w:numId w:val="3"/>
      </w:numPr>
    </w:pPr>
  </w:style>
  <w:style w:type="paragraph" w:styleId="Numeroelenco3">
    <w:name w:val="List Number 3"/>
    <w:basedOn w:val="Normale"/>
    <w:pPr>
      <w:numPr>
        <w:numId w:val="4"/>
      </w:numPr>
    </w:pPr>
  </w:style>
  <w:style w:type="paragraph" w:styleId="Numeroelenco4">
    <w:name w:val="List Number 4"/>
    <w:basedOn w:val="Normale"/>
    <w:pPr>
      <w:numPr>
        <w:numId w:val="5"/>
      </w:numPr>
    </w:pPr>
  </w:style>
  <w:style w:type="paragraph" w:styleId="Numeroelenco5">
    <w:name w:val="List Number 5"/>
    <w:basedOn w:val="Normale"/>
    <w:pPr>
      <w:numPr>
        <w:numId w:val="6"/>
      </w:numPr>
    </w:pPr>
  </w:style>
  <w:style w:type="paragraph" w:styleId="PreformattatoHTML">
    <w:name w:val="HTML Preformatted"/>
    <w:basedOn w:val="Normale"/>
    <w:link w:val="PreformattatoHTMLCarattere"/>
    <w:uiPriority w:val="99"/>
    <w:rPr>
      <w:rFonts w:ascii="Courier New" w:hAnsi="Courier New" w:cs="Courier New"/>
    </w:rPr>
  </w:style>
  <w:style w:type="paragraph" w:styleId="Primorientrocorpodeltesto">
    <w:name w:val="Body Text First Indent"/>
    <w:basedOn w:val="Corpotesto"/>
    <w:pPr>
      <w:widowControl/>
      <w:spacing w:after="120"/>
      <w:ind w:firstLine="210"/>
      <w:jc w:val="left"/>
    </w:pPr>
    <w:rPr>
      <w:snapToGrid/>
      <w:sz w:val="20"/>
    </w:rPr>
  </w:style>
  <w:style w:type="paragraph" w:styleId="Primorientrocorpodeltesto2">
    <w:name w:val="Body Text First Indent 2"/>
    <w:basedOn w:val="Rientrocorpodeltesto"/>
    <w:pPr>
      <w:spacing w:after="120"/>
      <w:ind w:left="283" w:firstLine="210"/>
      <w:jc w:val="left"/>
    </w:pPr>
    <w:rPr>
      <w:sz w:val="20"/>
    </w:rPr>
  </w:style>
  <w:style w:type="paragraph" w:styleId="Puntoelenco">
    <w:name w:val="List Bullet"/>
    <w:basedOn w:val="Normale"/>
    <w:autoRedefine/>
    <w:pPr>
      <w:numPr>
        <w:numId w:val="7"/>
      </w:numPr>
    </w:pPr>
  </w:style>
  <w:style w:type="paragraph" w:styleId="Puntoelenco3">
    <w:name w:val="List Bullet 3"/>
    <w:basedOn w:val="Normale"/>
    <w:autoRedefine/>
    <w:pPr>
      <w:numPr>
        <w:numId w:val="8"/>
      </w:numPr>
    </w:pPr>
  </w:style>
  <w:style w:type="paragraph" w:styleId="Puntoelenco4">
    <w:name w:val="List Bullet 4"/>
    <w:basedOn w:val="Normale"/>
    <w:autoRedefine/>
    <w:pPr>
      <w:numPr>
        <w:numId w:val="9"/>
      </w:numPr>
    </w:pPr>
  </w:style>
  <w:style w:type="paragraph" w:styleId="Puntoelenco5">
    <w:name w:val="List Bullet 5"/>
    <w:basedOn w:val="Normale"/>
    <w:autoRedefine/>
    <w:pPr>
      <w:numPr>
        <w:numId w:val="10"/>
      </w:numPr>
    </w:pPr>
  </w:style>
  <w:style w:type="paragraph" w:styleId="Rientronormale">
    <w:name w:val="Normal Indent"/>
    <w:basedOn w:val="Normale"/>
    <w:pPr>
      <w:ind w:left="708"/>
    </w:pPr>
  </w:style>
  <w:style w:type="paragraph" w:styleId="Testocommento">
    <w:name w:val="annotation text"/>
    <w:basedOn w:val="Normale"/>
    <w:semiHidden/>
  </w:style>
  <w:style w:type="paragraph" w:styleId="Soggettocommento">
    <w:name w:val="annotation subject"/>
    <w:basedOn w:val="Testocommento"/>
    <w:next w:val="Testocommento"/>
    <w:semiHidden/>
    <w:rPr>
      <w:b/>
      <w:bCs/>
    </w:rPr>
  </w:style>
  <w:style w:type="paragraph" w:styleId="Testomacro">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estonotadichiusura">
    <w:name w:val="endnote text"/>
    <w:basedOn w:val="Normale"/>
    <w:link w:val="TestonotadichiusuraCarattere"/>
    <w:semiHidden/>
  </w:style>
  <w:style w:type="paragraph" w:styleId="Titolo">
    <w:name w:val="Title"/>
    <w:basedOn w:val="Normale"/>
    <w:qFormat/>
    <w:pPr>
      <w:spacing w:before="240" w:after="60"/>
      <w:jc w:val="center"/>
      <w:outlineLvl w:val="0"/>
    </w:pPr>
    <w:rPr>
      <w:rFonts w:ascii="Arial" w:hAnsi="Arial" w:cs="Arial"/>
      <w:b/>
      <w:bCs/>
      <w:kern w:val="28"/>
      <w:sz w:val="32"/>
      <w:szCs w:val="32"/>
    </w:rPr>
  </w:style>
  <w:style w:type="paragraph" w:styleId="Titoloindice">
    <w:name w:val="index heading"/>
    <w:basedOn w:val="Normale"/>
    <w:next w:val="Indice1"/>
    <w:semiHidden/>
    <w:rPr>
      <w:rFonts w:ascii="Arial" w:hAnsi="Arial" w:cs="Arial"/>
      <w:b/>
      <w:bCs/>
    </w:rPr>
  </w:style>
  <w:style w:type="paragraph" w:styleId="Titoloindicefonti">
    <w:name w:val="toa heading"/>
    <w:basedOn w:val="Normale"/>
    <w:next w:val="Normale"/>
    <w:semiHidden/>
    <w:pPr>
      <w:spacing w:before="120"/>
    </w:pPr>
    <w:rPr>
      <w:rFonts w:ascii="Arial" w:hAnsi="Arial" w:cs="Arial"/>
      <w:b/>
      <w:bCs/>
      <w:sz w:val="24"/>
      <w:szCs w:val="24"/>
    </w:rPr>
  </w:style>
  <w:style w:type="character" w:customStyle="1" w:styleId="CorpodeltestoCarattereCarattere">
    <w:name w:val="Corpo del testo Carattere Carattere"/>
    <w:aliases w:val="Corpo del testo Carattere1 Carattere Carattere1,Corpo del testo Carattere1 Carattere1 Carattere,Corpo del testo Carattere1 Carattere Carattere Carattere Carattere"/>
    <w:rPr>
      <w:sz w:val="24"/>
      <w:lang w:val="it-IT" w:eastAsia="it-IT" w:bidi="ar-SA"/>
    </w:rPr>
  </w:style>
  <w:style w:type="paragraph" w:customStyle="1" w:styleId="font6">
    <w:name w:val="font6"/>
    <w:basedOn w:val="Normale"/>
    <w:pPr>
      <w:spacing w:before="100" w:beforeAutospacing="1" w:after="100" w:afterAutospacing="1"/>
    </w:pPr>
    <w:rPr>
      <w:rFonts w:eastAsia="Arial Unicode MS"/>
    </w:rPr>
  </w:style>
  <w:style w:type="paragraph" w:customStyle="1" w:styleId="xl24">
    <w:name w:val="xl24"/>
    <w:basedOn w:val="Normale"/>
    <w:pPr>
      <w:spacing w:before="100" w:beforeAutospacing="1" w:after="100" w:afterAutospacing="1"/>
    </w:pPr>
    <w:rPr>
      <w:rFonts w:eastAsia="Arial Unicode MS"/>
      <w:sz w:val="24"/>
      <w:szCs w:val="24"/>
    </w:rPr>
  </w:style>
  <w:style w:type="paragraph" w:customStyle="1" w:styleId="xl47">
    <w:name w:val="xl47"/>
    <w:basedOn w:val="Normale"/>
    <w:pP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48">
    <w:name w:val="xl48"/>
    <w:basedOn w:val="Normale"/>
    <w:pPr>
      <w:pBdr>
        <w:bottom w:val="single" w:sz="8" w:space="0" w:color="808080"/>
      </w:pBdr>
      <w:spacing w:before="100" w:beforeAutospacing="1" w:after="100" w:afterAutospacing="1"/>
      <w:jc w:val="center"/>
      <w:textAlignment w:val="center"/>
    </w:pPr>
    <w:rPr>
      <w:rFonts w:ascii="Tahoma" w:eastAsia="Arial Unicode MS" w:hAnsi="Tahoma" w:cs="Tahoma"/>
      <w:b/>
      <w:bCs/>
      <w:color w:val="000080"/>
      <w:sz w:val="22"/>
      <w:szCs w:val="22"/>
    </w:rPr>
  </w:style>
  <w:style w:type="paragraph" w:customStyle="1" w:styleId="xl49">
    <w:name w:val="xl49"/>
    <w:basedOn w:val="Normale"/>
    <w:pPr>
      <w:pBdr>
        <w:bottom w:val="single" w:sz="8" w:space="0" w:color="808080"/>
      </w:pBdr>
      <w:spacing w:before="100" w:beforeAutospacing="1" w:after="100" w:afterAutospacing="1"/>
      <w:jc w:val="center"/>
      <w:textAlignment w:val="center"/>
    </w:pPr>
    <w:rPr>
      <w:rFonts w:ascii="Tahoma" w:eastAsia="Arial Unicode MS" w:hAnsi="Tahoma" w:cs="Tahoma"/>
      <w:b/>
      <w:bCs/>
      <w:color w:val="000080"/>
      <w:sz w:val="22"/>
      <w:szCs w:val="22"/>
    </w:rPr>
  </w:style>
  <w:style w:type="paragraph" w:customStyle="1" w:styleId="rientro1">
    <w:name w:val="rientro 1"/>
    <w:basedOn w:val="Normale"/>
    <w:pPr>
      <w:ind w:left="340" w:hanging="340"/>
      <w:jc w:val="both"/>
    </w:pPr>
    <w:rPr>
      <w:rFonts w:ascii="Courier" w:hAnsi="Courier"/>
      <w:sz w:val="24"/>
    </w:rPr>
  </w:style>
  <w:style w:type="character" w:customStyle="1" w:styleId="PidipaginaCarattere">
    <w:name w:val="Piè di pagina Carattere"/>
    <w:uiPriority w:val="99"/>
    <w:rPr>
      <w:rFonts w:ascii="Tahoma" w:hAnsi="Tahoma"/>
      <w:i/>
      <w:szCs w:val="24"/>
      <w:lang w:val="it-IT" w:eastAsia="it-IT" w:bidi="ar-SA"/>
    </w:rPr>
  </w:style>
  <w:style w:type="paragraph" w:customStyle="1" w:styleId="font7">
    <w:name w:val="font7"/>
    <w:basedOn w:val="Normale"/>
    <w:pPr>
      <w:spacing w:before="100" w:beforeAutospacing="1" w:after="100" w:afterAutospacing="1"/>
    </w:pPr>
    <w:rPr>
      <w:rFonts w:ascii="Tahoma" w:eastAsia="Arial Unicode MS" w:hAnsi="Tahoma" w:cs="Tahoma"/>
      <w:b/>
      <w:bCs/>
      <w:color w:val="000000"/>
      <w:sz w:val="16"/>
      <w:szCs w:val="16"/>
    </w:rPr>
  </w:style>
  <w:style w:type="paragraph" w:customStyle="1" w:styleId="font8">
    <w:name w:val="font8"/>
    <w:basedOn w:val="Normale"/>
    <w:pPr>
      <w:spacing w:before="100" w:beforeAutospacing="1" w:after="100" w:afterAutospacing="1"/>
    </w:pPr>
    <w:rPr>
      <w:rFonts w:ascii="Tahoma" w:eastAsia="Arial Unicode MS" w:hAnsi="Tahoma" w:cs="Tahoma"/>
      <w:color w:val="000000"/>
      <w:sz w:val="16"/>
      <w:szCs w:val="16"/>
    </w:rPr>
  </w:style>
  <w:style w:type="paragraph" w:customStyle="1" w:styleId="xl50">
    <w:name w:val="xl50"/>
    <w:basedOn w:val="Normale"/>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51">
    <w:name w:val="xl51"/>
    <w:basedOn w:val="Normal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52">
    <w:name w:val="xl52"/>
    <w:basedOn w:val="Normal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24"/>
      <w:szCs w:val="24"/>
    </w:rPr>
  </w:style>
  <w:style w:type="paragraph" w:customStyle="1" w:styleId="xl53">
    <w:name w:val="xl53"/>
    <w:basedOn w:val="Normal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54">
    <w:name w:val="xl54"/>
    <w:basedOn w:val="Normal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55">
    <w:name w:val="xl55"/>
    <w:basedOn w:val="Normal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56">
    <w:name w:val="xl56"/>
    <w:basedOn w:val="Normal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57">
    <w:name w:val="xl57"/>
    <w:basedOn w:val="Normale"/>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eastAsia="Arial Unicode MS" w:hAnsi="Arial" w:cs="Arial"/>
      <w:sz w:val="24"/>
      <w:szCs w:val="24"/>
    </w:rPr>
  </w:style>
  <w:style w:type="paragraph" w:customStyle="1" w:styleId="xl58">
    <w:name w:val="xl58"/>
    <w:basedOn w:val="Normale"/>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24"/>
      <w:szCs w:val="24"/>
    </w:rPr>
  </w:style>
  <w:style w:type="paragraph" w:customStyle="1" w:styleId="xl59">
    <w:name w:val="xl59"/>
    <w:basedOn w:val="Normale"/>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0">
    <w:name w:val="xl60"/>
    <w:basedOn w:val="Normale"/>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1">
    <w:name w:val="xl61"/>
    <w:basedOn w:val="Normal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62">
    <w:name w:val="xl62"/>
    <w:basedOn w:val="Normale"/>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24"/>
      <w:szCs w:val="24"/>
    </w:rPr>
  </w:style>
  <w:style w:type="paragraph" w:customStyle="1" w:styleId="xl63">
    <w:name w:val="xl63"/>
    <w:basedOn w:val="Normale"/>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64">
    <w:name w:val="xl64"/>
    <w:basedOn w:val="Normal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65">
    <w:name w:val="xl65"/>
    <w:basedOn w:val="Normale"/>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66">
    <w:name w:val="xl66"/>
    <w:basedOn w:val="Normale"/>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67">
    <w:name w:val="xl67"/>
    <w:basedOn w:val="Normale"/>
    <w:pPr>
      <w:pBdr>
        <w:top w:val="single" w:sz="4" w:space="0" w:color="auto"/>
        <w:left w:val="single" w:sz="4" w:space="0" w:color="auto"/>
        <w:right w:val="single" w:sz="4" w:space="0" w:color="auto"/>
      </w:pBdr>
      <w:spacing w:before="100" w:beforeAutospacing="1" w:after="100" w:afterAutospacing="1"/>
      <w:jc w:val="right"/>
    </w:pPr>
    <w:rPr>
      <w:rFonts w:ascii="Arial" w:eastAsia="Arial Unicode MS" w:hAnsi="Arial" w:cs="Arial"/>
      <w:sz w:val="24"/>
      <w:szCs w:val="24"/>
    </w:rPr>
  </w:style>
  <w:style w:type="paragraph" w:customStyle="1" w:styleId="xl68">
    <w:name w:val="xl68"/>
    <w:basedOn w:val="Normale"/>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69">
    <w:name w:val="xl69"/>
    <w:basedOn w:val="Normale"/>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70">
    <w:name w:val="xl70"/>
    <w:basedOn w:val="Normale"/>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71">
    <w:name w:val="xl71"/>
    <w:basedOn w:val="Normale"/>
    <w:pPr>
      <w:pBdr>
        <w:top w:val="single" w:sz="4" w:space="0" w:color="auto"/>
        <w:left w:val="single" w:sz="4" w:space="0" w:color="auto"/>
      </w:pBdr>
      <w:spacing w:before="100" w:beforeAutospacing="1" w:after="100" w:afterAutospacing="1"/>
    </w:pPr>
    <w:rPr>
      <w:rFonts w:ascii="Arial" w:eastAsia="Arial Unicode MS" w:hAnsi="Arial" w:cs="Arial"/>
      <w:sz w:val="24"/>
      <w:szCs w:val="24"/>
    </w:rPr>
  </w:style>
  <w:style w:type="paragraph" w:customStyle="1" w:styleId="xl72">
    <w:name w:val="xl72"/>
    <w:basedOn w:val="Normale"/>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73">
    <w:name w:val="xl73"/>
    <w:basedOn w:val="Normale"/>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74">
    <w:name w:val="xl74"/>
    <w:basedOn w:val="Normal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5">
    <w:name w:val="xl75"/>
    <w:basedOn w:val="Normale"/>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6">
    <w:name w:val="xl76"/>
    <w:basedOn w:val="Normale"/>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7">
    <w:name w:val="xl77"/>
    <w:basedOn w:val="Normale"/>
    <w:pPr>
      <w:pBdr>
        <w:top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78">
    <w:name w:val="xl78"/>
    <w:basedOn w:val="Normale"/>
    <w:pPr>
      <w:pBdr>
        <w:top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79">
    <w:name w:val="xl79"/>
    <w:basedOn w:val="Normale"/>
    <w:pPr>
      <w:pBdr>
        <w:top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80">
    <w:name w:val="xl80"/>
    <w:basedOn w:val="Normale"/>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81">
    <w:name w:val="xl81"/>
    <w:basedOn w:val="Normale"/>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82">
    <w:name w:val="xl82"/>
    <w:basedOn w:val="Normale"/>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83">
    <w:name w:val="xl83"/>
    <w:basedOn w:val="Normale"/>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84">
    <w:name w:val="xl84"/>
    <w:basedOn w:val="Normale"/>
    <w:pPr>
      <w:pBdr>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85">
    <w:name w:val="xl85"/>
    <w:basedOn w:val="Normale"/>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86">
    <w:name w:val="xl86"/>
    <w:basedOn w:val="Normale"/>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87">
    <w:name w:val="xl87"/>
    <w:basedOn w:val="Normale"/>
    <w:pPr>
      <w:pBdr>
        <w:top w:val="single" w:sz="4" w:space="0" w:color="auto"/>
        <w:lef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88">
    <w:name w:val="xl88"/>
    <w:basedOn w:val="Normale"/>
    <w:pPr>
      <w:pBdr>
        <w:lef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89">
    <w:name w:val="xl89"/>
    <w:basedOn w:val="Normale"/>
    <w:pPr>
      <w:pBdr>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90">
    <w:name w:val="xl90"/>
    <w:basedOn w:val="Normale"/>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91">
    <w:name w:val="xl91"/>
    <w:basedOn w:val="Normale"/>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92">
    <w:name w:val="xl92"/>
    <w:basedOn w:val="Normal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93">
    <w:name w:val="xl93"/>
    <w:basedOn w:val="Normale"/>
    <w:pPr>
      <w:pBdr>
        <w:top w:val="single" w:sz="4" w:space="0" w:color="auto"/>
        <w:lef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94">
    <w:name w:val="xl94"/>
    <w:basedOn w:val="Normale"/>
    <w:pPr>
      <w:pBdr>
        <w:lef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95">
    <w:name w:val="xl95"/>
    <w:basedOn w:val="Normale"/>
    <w:pPr>
      <w:pBdr>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96">
    <w:name w:val="xl96"/>
    <w:basedOn w:val="Normal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97">
    <w:name w:val="xl97"/>
    <w:basedOn w:val="Normale"/>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98">
    <w:name w:val="xl98"/>
    <w:basedOn w:val="Normale"/>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99">
    <w:name w:val="xl99"/>
    <w:basedOn w:val="Normale"/>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24"/>
      <w:szCs w:val="24"/>
    </w:rPr>
  </w:style>
  <w:style w:type="paragraph" w:customStyle="1" w:styleId="xl100">
    <w:name w:val="xl100"/>
    <w:basedOn w:val="Normale"/>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24"/>
      <w:szCs w:val="24"/>
    </w:rPr>
  </w:style>
  <w:style w:type="paragraph" w:customStyle="1" w:styleId="xl101">
    <w:name w:val="xl101"/>
    <w:basedOn w:val="Normal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102">
    <w:name w:val="xl102"/>
    <w:basedOn w:val="Normal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103">
    <w:name w:val="xl103"/>
    <w:basedOn w:val="Normale"/>
    <w:pPr>
      <w:pBdr>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104">
    <w:name w:val="xl104"/>
    <w:basedOn w:val="Normale"/>
    <w:pPr>
      <w:pBdr>
        <w:left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105">
    <w:name w:val="xl105"/>
    <w:basedOn w:val="Normale"/>
    <w:pPr>
      <w:spacing w:before="100" w:beforeAutospacing="1" w:after="100" w:afterAutospacing="1"/>
      <w:textAlignment w:val="center"/>
    </w:pPr>
    <w:rPr>
      <w:rFonts w:ascii="Arial" w:eastAsia="Arial Unicode MS" w:hAnsi="Arial" w:cs="Arial"/>
      <w:sz w:val="24"/>
      <w:szCs w:val="24"/>
    </w:rPr>
  </w:style>
  <w:style w:type="paragraph" w:customStyle="1" w:styleId="xl106">
    <w:name w:val="xl106"/>
    <w:basedOn w:val="Normale"/>
    <w:pPr>
      <w:spacing w:before="100" w:beforeAutospacing="1" w:after="100" w:afterAutospacing="1"/>
      <w:jc w:val="center"/>
      <w:textAlignment w:val="center"/>
    </w:pPr>
    <w:rPr>
      <w:rFonts w:ascii="Arial" w:eastAsia="Arial Unicode MS" w:hAnsi="Arial" w:cs="Arial"/>
      <w:sz w:val="24"/>
      <w:szCs w:val="24"/>
    </w:rPr>
  </w:style>
  <w:style w:type="paragraph" w:customStyle="1" w:styleId="xl107">
    <w:name w:val="xl107"/>
    <w:basedOn w:val="Normale"/>
    <w:pPr>
      <w:spacing w:before="100" w:beforeAutospacing="1" w:after="100" w:afterAutospacing="1"/>
      <w:jc w:val="center"/>
    </w:pPr>
    <w:rPr>
      <w:rFonts w:ascii="Arial" w:eastAsia="Arial Unicode MS" w:hAnsi="Arial" w:cs="Arial"/>
      <w:sz w:val="24"/>
      <w:szCs w:val="24"/>
    </w:rPr>
  </w:style>
  <w:style w:type="paragraph" w:customStyle="1" w:styleId="xl108">
    <w:name w:val="xl108"/>
    <w:basedOn w:val="Normale"/>
    <w:pPr>
      <w:spacing w:before="100" w:beforeAutospacing="1" w:after="100" w:afterAutospacing="1"/>
      <w:jc w:val="center"/>
    </w:pPr>
    <w:rPr>
      <w:rFonts w:ascii="Arial" w:eastAsia="Arial Unicode MS" w:hAnsi="Arial" w:cs="Arial"/>
      <w:sz w:val="24"/>
      <w:szCs w:val="24"/>
    </w:rPr>
  </w:style>
  <w:style w:type="paragraph" w:customStyle="1" w:styleId="xl109">
    <w:name w:val="xl109"/>
    <w:basedOn w:val="Normale"/>
    <w:pPr>
      <w:spacing w:before="100" w:beforeAutospacing="1" w:after="100" w:afterAutospacing="1"/>
      <w:jc w:val="right"/>
    </w:pPr>
    <w:rPr>
      <w:rFonts w:ascii="Arial" w:eastAsia="Arial Unicode MS" w:hAnsi="Arial" w:cs="Arial"/>
      <w:sz w:val="24"/>
      <w:szCs w:val="24"/>
    </w:rPr>
  </w:style>
  <w:style w:type="paragraph" w:customStyle="1" w:styleId="xl110">
    <w:name w:val="xl110"/>
    <w:basedOn w:val="Normale"/>
    <w:pPr>
      <w:spacing w:before="100" w:beforeAutospacing="1" w:after="100" w:afterAutospacing="1"/>
      <w:jc w:val="right"/>
    </w:pPr>
    <w:rPr>
      <w:rFonts w:ascii="Arial" w:eastAsia="Arial Unicode MS" w:hAnsi="Arial" w:cs="Arial"/>
      <w:sz w:val="24"/>
      <w:szCs w:val="24"/>
    </w:rPr>
  </w:style>
  <w:style w:type="paragraph" w:customStyle="1" w:styleId="xl111">
    <w:name w:val="xl111"/>
    <w:basedOn w:val="Normale"/>
    <w:pPr>
      <w:spacing w:before="100" w:beforeAutospacing="1" w:after="100" w:afterAutospacing="1"/>
    </w:pPr>
    <w:rPr>
      <w:rFonts w:ascii="Arial" w:eastAsia="Arial Unicode MS" w:hAnsi="Arial" w:cs="Arial"/>
      <w:sz w:val="24"/>
      <w:szCs w:val="24"/>
    </w:rPr>
  </w:style>
  <w:style w:type="paragraph" w:customStyle="1" w:styleId="xl112">
    <w:name w:val="xl112"/>
    <w:basedOn w:val="Normale"/>
    <w:pPr>
      <w:spacing w:before="100" w:beforeAutospacing="1" w:after="100" w:afterAutospacing="1"/>
    </w:pPr>
    <w:rPr>
      <w:rFonts w:ascii="Arial" w:eastAsia="Arial Unicode MS" w:hAnsi="Arial" w:cs="Arial"/>
      <w:sz w:val="24"/>
      <w:szCs w:val="24"/>
    </w:rPr>
  </w:style>
  <w:style w:type="paragraph" w:customStyle="1" w:styleId="xl113">
    <w:name w:val="xl113"/>
    <w:basedOn w:val="Normal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114">
    <w:name w:val="xl114"/>
    <w:basedOn w:val="Normal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115">
    <w:name w:val="xl115"/>
    <w:basedOn w:val="Normale"/>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i/>
      <w:iCs/>
      <w:sz w:val="24"/>
      <w:szCs w:val="24"/>
    </w:rPr>
  </w:style>
  <w:style w:type="paragraph" w:customStyle="1" w:styleId="xl116">
    <w:name w:val="xl116"/>
    <w:basedOn w:val="Normale"/>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i/>
      <w:iCs/>
      <w:sz w:val="24"/>
      <w:szCs w:val="24"/>
    </w:rPr>
  </w:style>
  <w:style w:type="paragraph" w:customStyle="1" w:styleId="xl117">
    <w:name w:val="xl117"/>
    <w:basedOn w:val="Normale"/>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i/>
      <w:iCs/>
      <w:sz w:val="24"/>
      <w:szCs w:val="24"/>
    </w:rPr>
  </w:style>
  <w:style w:type="paragraph" w:customStyle="1" w:styleId="StileTitolo212pt">
    <w:name w:val="Stile Titolo 2 + 12 pt"/>
    <w:basedOn w:val="Titolo2"/>
    <w:autoRedefine/>
    <w:rPr>
      <w:rFonts w:ascii="Century Gothic" w:hAnsi="Century Gothic"/>
      <w:i/>
      <w:iCs/>
      <w:szCs w:val="28"/>
    </w:rPr>
  </w:style>
  <w:style w:type="character" w:customStyle="1" w:styleId="StileRimandonotaapidipaginaTahoma">
    <w:name w:val="Stile Rimando nota a piè di pagina + Tahoma"/>
    <w:rPr>
      <w:rFonts w:ascii="Tahoma" w:hAnsi="Tahoma"/>
      <w:sz w:val="20"/>
      <w:vertAlign w:val="superscript"/>
    </w:rPr>
  </w:style>
  <w:style w:type="table" w:styleId="Grigliatabella">
    <w:name w:val="Table Grid"/>
    <w:basedOn w:val="Tabellanormal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atteredellanota">
    <w:name w:val="Carattere della nota"/>
    <w:rPr>
      <w:vertAlign w:val="superscript"/>
    </w:rPr>
  </w:style>
  <w:style w:type="paragraph" w:customStyle="1" w:styleId="nota">
    <w:name w:val="nota"/>
    <w:basedOn w:val="Normale"/>
    <w:autoRedefine/>
    <w:pPr>
      <w:numPr>
        <w:numId w:val="11"/>
      </w:numPr>
      <w:spacing w:after="120"/>
      <w:jc w:val="both"/>
    </w:pPr>
    <w:rPr>
      <w:rFonts w:ascii="Tahoma" w:hAnsi="Tahoma" w:cs="Tahoma"/>
      <w:vertAlign w:val="superscript"/>
      <w:lang w:eastAsia="ar-SA"/>
    </w:rPr>
  </w:style>
  <w:style w:type="character" w:customStyle="1" w:styleId="Titolo1Carattere">
    <w:name w:val="Titolo 1 Carattere"/>
    <w:aliases w:val="Titolo 1 Carattere2 Carattere,Titolo 1 Carattere1 Carattere Carattere,Titolo 1 Carattere Carattere Carattere Carattere,Titolo 1 Carattere2 Carattere Carattere Carattere Carattere,Titolo 1 Carattere Carattere1 Carattere"/>
    <w:link w:val="Titolo1"/>
    <w:rsid w:val="00A93677"/>
    <w:rPr>
      <w:rFonts w:ascii="Arial" w:hAnsi="Arial" w:cs="Arial"/>
      <w:b/>
      <w:bCs/>
      <w:smallCaps/>
      <w:noProof/>
      <w:color w:val="000080"/>
      <w:sz w:val="24"/>
      <w:szCs w:val="24"/>
    </w:rPr>
  </w:style>
  <w:style w:type="paragraph" w:customStyle="1" w:styleId="StileTitolo2Tahoma">
    <w:name w:val="Stile Titolo 2 + Tahoma"/>
    <w:basedOn w:val="Titolo2"/>
    <w:autoRedefine/>
    <w:pPr>
      <w:spacing w:after="60"/>
      <w:outlineLvl w:val="9"/>
    </w:pPr>
    <w:rPr>
      <w:b w:val="0"/>
      <w:i/>
      <w:iCs/>
    </w:rPr>
  </w:style>
  <w:style w:type="character" w:customStyle="1" w:styleId="Corpodeltesto2Carattere">
    <w:name w:val="Corpo del testo 2 Carattere"/>
    <w:aliases w:val=" Carattere Carattere"/>
    <w:link w:val="Corpodeltesto2"/>
    <w:rPr>
      <w:b/>
      <w:sz w:val="24"/>
      <w:lang w:val="it-IT" w:eastAsia="it-IT" w:bidi="ar-SA"/>
    </w:rPr>
  </w:style>
  <w:style w:type="character" w:customStyle="1" w:styleId="WW-Caratteredellanota">
    <w:name w:val="WW-Carattere della nota"/>
    <w:rPr>
      <w:vertAlign w:val="superscript"/>
    </w:rPr>
  </w:style>
  <w:style w:type="character" w:styleId="Enfasigrassetto">
    <w:name w:val="Strong"/>
    <w:uiPriority w:val="22"/>
    <w:qFormat/>
    <w:rPr>
      <w:b/>
      <w:bCs/>
    </w:rPr>
  </w:style>
  <w:style w:type="character" w:styleId="Enfasicorsivo">
    <w:name w:val="Emphasis"/>
    <w:uiPriority w:val="20"/>
    <w:qFormat/>
    <w:rPr>
      <w:i/>
      <w:iCs/>
    </w:rPr>
  </w:style>
  <w:style w:type="character" w:customStyle="1" w:styleId="WW-Caratteredellanota1">
    <w:name w:val="WW-Carattere della nota1"/>
    <w:rPr>
      <w:vertAlign w:val="superscript"/>
    </w:rPr>
  </w:style>
  <w:style w:type="paragraph" w:customStyle="1" w:styleId="Default">
    <w:name w:val="Default"/>
    <w:pPr>
      <w:autoSpaceDE w:val="0"/>
      <w:autoSpaceDN w:val="0"/>
      <w:adjustRightInd w:val="0"/>
    </w:pPr>
    <w:rPr>
      <w:rFonts w:ascii="Arial" w:hAnsi="Arial" w:cs="Arial"/>
      <w:color w:val="000000"/>
      <w:sz w:val="24"/>
      <w:szCs w:val="24"/>
    </w:rPr>
  </w:style>
  <w:style w:type="paragraph" w:customStyle="1" w:styleId="default0">
    <w:name w:val="default"/>
    <w:basedOn w:val="Normale"/>
    <w:pPr>
      <w:autoSpaceDE w:val="0"/>
      <w:autoSpaceDN w:val="0"/>
    </w:pPr>
    <w:rPr>
      <w:rFonts w:ascii="Arial" w:hAnsi="Arial" w:cs="Arial"/>
      <w:color w:val="000000"/>
      <w:sz w:val="24"/>
      <w:szCs w:val="24"/>
    </w:rPr>
  </w:style>
  <w:style w:type="character" w:customStyle="1" w:styleId="Titolo2Carattere1">
    <w:name w:val="Titolo 2 Carattere1"/>
    <w:aliases w:val="Titolo 2 Carattere Carattere,Titolo 4 + corsivo Carattere Carattere1,Titolo 4 + corsivo Carattere1"/>
    <w:link w:val="Titolo2"/>
    <w:rsid w:val="006D6367"/>
    <w:rPr>
      <w:rFonts w:ascii="Arial" w:hAnsi="Arial" w:cs="Arial"/>
      <w:b/>
      <w:snapToGrid w:val="0"/>
      <w:color w:val="000080"/>
      <w:lang w:eastAsia="en-US"/>
    </w:rPr>
  </w:style>
  <w:style w:type="character" w:customStyle="1" w:styleId="Titolo1CarattereCarattereCarattereCarattereCarattereCarattere">
    <w:name w:val="Titolo 1 Carattere Carattere Carattere Carattere Carattere Carattere"/>
    <w:rPr>
      <w:rFonts w:ascii="Tahoma" w:hAnsi="Tahoma" w:cs="Tahoma"/>
      <w:b/>
      <w:bCs/>
      <w:caps/>
      <w:noProof/>
      <w:sz w:val="24"/>
      <w:szCs w:val="24"/>
      <w:lang w:val="it-IT" w:eastAsia="it-IT" w:bidi="ar-SA"/>
    </w:rPr>
  </w:style>
  <w:style w:type="character" w:customStyle="1" w:styleId="IntestazioneCarattere">
    <w:name w:val="Intestazione Carattere"/>
    <w:aliases w:val=" Carattere1 Carattere,Carattere1 Carattere1,Intestazione Carattere2 Carattere Carattere1,Intestazione Carattere Carattere1 Carattere Carattere1,Carattere1 Carattere Carattere Carattere Carattere1"/>
    <w:link w:val="Intestazione"/>
    <w:uiPriority w:val="99"/>
    <w:rPr>
      <w:lang w:val="it-IT" w:eastAsia="it-IT" w:bidi="ar-SA"/>
    </w:rPr>
  </w:style>
  <w:style w:type="character" w:customStyle="1" w:styleId="Titolo1Carattere1CarattereCarattereCarattereCarattereCarattere">
    <w:name w:val="Titolo 1 Carattere1 Carattere Carattere Carattere Carattere Carattere"/>
    <w:rPr>
      <w:rFonts w:ascii="Tahoma" w:hAnsi="Tahoma" w:cs="Tahoma"/>
      <w:b/>
      <w:bCs/>
      <w:caps/>
      <w:noProof/>
      <w:sz w:val="24"/>
      <w:szCs w:val="24"/>
      <w:lang w:val="it-IT" w:eastAsia="it-IT" w:bidi="ar-SA"/>
    </w:rPr>
  </w:style>
  <w:style w:type="character" w:customStyle="1" w:styleId="CorpotestoCarattere">
    <w:name w:val="Corpo testo Carattere"/>
    <w:aliases w:val="Corpo del testo Carattere1 Carattere2,Corpo del testo Carattere1 Carattere Carattere2"/>
    <w:link w:val="Corpotesto"/>
    <w:rPr>
      <w:snapToGrid w:val="0"/>
      <w:sz w:val="24"/>
      <w:lang w:val="it-IT" w:eastAsia="it-IT" w:bidi="ar-SA"/>
    </w:rPr>
  </w:style>
  <w:style w:type="character" w:customStyle="1" w:styleId="CarattereCarattere1">
    <w:name w:val="Carattere Carattere1"/>
    <w:rPr>
      <w:rFonts w:ascii="Times New Roman" w:eastAsia="Times New Roman" w:hAnsi="Times New Roman" w:cs="Times New Roman"/>
      <w:sz w:val="20"/>
      <w:szCs w:val="20"/>
      <w:lang w:eastAsia="it-IT"/>
    </w:rPr>
  </w:style>
  <w:style w:type="character" w:customStyle="1" w:styleId="HeaderChar">
    <w:name w:val="Header Char"/>
    <w:aliases w:val="Carattere1 Char,Intestazione Carattere2 Carattere Char,Intestazione Carattere Carattere1 Carattere Char,Carattere1 Carattere Carattere Carattere Char,Intestazione Carattere Carattere Carattere Carattere Char"/>
    <w:locked/>
    <w:rPr>
      <w:rFonts w:ascii="Times New Roman" w:hAnsi="Times New Roman" w:cs="Times New Roman"/>
      <w:sz w:val="20"/>
      <w:szCs w:val="20"/>
      <w:lang w:val="x-none" w:eastAsia="it-IT"/>
    </w:rPr>
  </w:style>
  <w:style w:type="character" w:customStyle="1" w:styleId="TestofumettoCarattere">
    <w:name w:val="Testo fumetto Carattere"/>
    <w:link w:val="Testofumetto"/>
    <w:semiHidden/>
    <w:locked/>
    <w:rPr>
      <w:rFonts w:ascii="Tahoma" w:hAnsi="Tahoma" w:cs="Tahoma"/>
      <w:sz w:val="16"/>
      <w:szCs w:val="16"/>
      <w:lang w:val="it-IT" w:eastAsia="it-IT" w:bidi="ar-SA"/>
    </w:rPr>
  </w:style>
  <w:style w:type="character" w:customStyle="1" w:styleId="TestonotaapidipaginaCarattere">
    <w:name w:val="Testo nota a piè di pagina Carattere"/>
    <w:aliases w:val=" Carattere4 Carattere,Carattere4 Carattere,Carattere Carattere,Testo nota a piè di pagina Carattere1 Carattere,Testo_note Carattere Carattere Carattere,rr_Testo nota a piè di pagina Carattere"/>
    <w:link w:val="Testonotaapidipagina"/>
    <w:uiPriority w:val="99"/>
    <w:locked/>
    <w:rPr>
      <w:lang w:val="it-IT" w:eastAsia="it-IT" w:bidi="ar-SA"/>
    </w:rPr>
  </w:style>
  <w:style w:type="character" w:customStyle="1" w:styleId="Carattere1Carattere">
    <w:name w:val="Carattere1 Carattere"/>
    <w:aliases w:val="Carattere1 Carattere Carattere,Intestazione Carattere2 Carattere Carattere,Intestazione Carattere Carattere1 Carattere Carattere,Carattere1 Carattere Carattere Carattere Carattere,Intestazione Carattere1"/>
    <w:rPr>
      <w:lang w:val="it-IT" w:eastAsia="it-IT" w:bidi="ar-SA"/>
    </w:rPr>
  </w:style>
  <w:style w:type="character" w:customStyle="1" w:styleId="Titolo4corsivoCarattereCarattere">
    <w:name w:val="Titolo 4 + corsivo Carattere Carattere"/>
    <w:rPr>
      <w:rFonts w:ascii="Tahoma" w:eastAsia="Times New Roman" w:hAnsi="Tahoma" w:cs="Times New Roman"/>
      <w:b/>
      <w:bCs/>
      <w:sz w:val="24"/>
      <w:lang w:eastAsia="it-IT"/>
    </w:rPr>
  </w:style>
  <w:style w:type="paragraph" w:styleId="Paragrafoelenco">
    <w:name w:val="List Paragraph"/>
    <w:basedOn w:val="Normale"/>
    <w:uiPriority w:val="34"/>
    <w:qFormat/>
    <w:pPr>
      <w:ind w:left="720"/>
      <w:contextualSpacing/>
    </w:pPr>
  </w:style>
  <w:style w:type="character" w:customStyle="1" w:styleId="TestonotadichiusuraCarattere">
    <w:name w:val="Testo nota di chiusura Carattere"/>
    <w:link w:val="Testonotadichiusura"/>
    <w:semiHidden/>
    <w:rPr>
      <w:lang w:val="it-IT" w:eastAsia="it-IT" w:bidi="ar-SA"/>
    </w:rPr>
  </w:style>
  <w:style w:type="character" w:styleId="Rimandonotadichiusura">
    <w:name w:val="endnote reference"/>
    <w:semiHidden/>
    <w:unhideWhenUsed/>
    <w:rPr>
      <w:vertAlign w:val="superscript"/>
    </w:rPr>
  </w:style>
  <w:style w:type="character" w:customStyle="1" w:styleId="CorpodeltestoCarattere1Carattere1">
    <w:name w:val="Corpo del testo Carattere1 Carattere1"/>
    <w:aliases w:val="Corpo del testo Carattere1 Carattere Carattere Carattere"/>
    <w:rPr>
      <w:snapToGrid w:val="0"/>
      <w:sz w:val="24"/>
      <w:lang w:val="it-IT" w:eastAsia="it-IT" w:bidi="ar-SA"/>
    </w:rPr>
  </w:style>
  <w:style w:type="character" w:customStyle="1" w:styleId="Intestazione4">
    <w:name w:val="Intestazione #4_"/>
    <w:link w:val="Intestazione41"/>
    <w:locked/>
    <w:rPr>
      <w:rFonts w:ascii="Arial Black" w:hAnsi="Arial Black"/>
      <w:lang w:bidi="ar-SA"/>
    </w:rPr>
  </w:style>
  <w:style w:type="character" w:customStyle="1" w:styleId="Intestazione40">
    <w:name w:val="Intestazione #4"/>
    <w:basedOn w:val="Intestazione4"/>
    <w:rPr>
      <w:rFonts w:ascii="Arial Black" w:hAnsi="Arial Black"/>
      <w:lang w:bidi="ar-SA"/>
    </w:rPr>
  </w:style>
  <w:style w:type="paragraph" w:customStyle="1" w:styleId="Intestazione41">
    <w:name w:val="Intestazione #41"/>
    <w:basedOn w:val="Normale"/>
    <w:link w:val="Intestazione4"/>
    <w:pPr>
      <w:shd w:val="clear" w:color="auto" w:fill="FFFFFF"/>
      <w:spacing w:before="240" w:after="240" w:line="240" w:lineRule="atLeast"/>
      <w:jc w:val="both"/>
      <w:outlineLvl w:val="3"/>
    </w:pPr>
    <w:rPr>
      <w:rFonts w:ascii="Arial Black" w:hAnsi="Arial Black"/>
    </w:rPr>
  </w:style>
  <w:style w:type="character" w:customStyle="1" w:styleId="Intestazione33">
    <w:name w:val="Intestazione #33"/>
    <w:rPr>
      <w:rFonts w:ascii="Franklin Gothic Book" w:hAnsi="Franklin Gothic Book" w:cs="Franklin Gothic Book"/>
      <w:sz w:val="23"/>
      <w:szCs w:val="23"/>
      <w:lang w:bidi="ar-SA"/>
    </w:rPr>
  </w:style>
  <w:style w:type="character" w:customStyle="1" w:styleId="Titolo3Carattere1">
    <w:name w:val="Titolo 3 Carattere1"/>
    <w:aliases w:val="Titolo 3 Carattere Carattere"/>
    <w:link w:val="Titolo3"/>
    <w:rsid w:val="00FD2F19"/>
    <w:rPr>
      <w:rFonts w:ascii="Arial" w:hAnsi="Arial" w:cs="Arial"/>
      <w:b/>
      <w:noProof/>
      <w:color w:val="000080"/>
      <w:sz w:val="22"/>
      <w:szCs w:val="22"/>
    </w:rPr>
  </w:style>
  <w:style w:type="character" w:customStyle="1" w:styleId="BocognaniR">
    <w:name w:val="BocognaniR"/>
    <w:semiHidden/>
    <w:rPr>
      <w:rFonts w:ascii="Calibri" w:hAnsi="Calibri"/>
      <w:b w:val="0"/>
      <w:bCs w:val="0"/>
      <w:i w:val="0"/>
      <w:iCs w:val="0"/>
      <w:strike w:val="0"/>
      <w:color w:val="000080"/>
      <w:sz w:val="24"/>
      <w:szCs w:val="24"/>
      <w:u w:val="none"/>
    </w:rPr>
  </w:style>
  <w:style w:type="character" w:customStyle="1" w:styleId="FootnoteTextChar">
    <w:name w:val="Footnote Text Char"/>
    <w:semiHidden/>
    <w:locked/>
    <w:rPr>
      <w:lang w:val="it-IT" w:eastAsia="it-IT" w:bidi="ar-SA"/>
    </w:rPr>
  </w:style>
  <w:style w:type="character" w:customStyle="1" w:styleId="CorpodeltestoCarattere1CarattereCarattere">
    <w:name w:val="Corpo del testo Carattere1 Carattere Carattere"/>
    <w:rPr>
      <w:snapToGrid w:val="0"/>
      <w:sz w:val="24"/>
      <w:lang w:val="it-IT" w:eastAsia="it-IT" w:bidi="ar-SA"/>
    </w:rPr>
  </w:style>
  <w:style w:type="paragraph" w:customStyle="1" w:styleId="Paragrafoelenco1">
    <w:name w:val="Paragrafo elenco1"/>
    <w:basedOn w:val="Normale"/>
    <w:rsid w:val="00902864"/>
    <w:pPr>
      <w:ind w:left="720"/>
      <w:contextualSpacing/>
    </w:pPr>
    <w:rPr>
      <w:rFonts w:ascii="Calibri" w:hAnsi="Calibri"/>
      <w:sz w:val="22"/>
      <w:szCs w:val="22"/>
      <w:lang w:eastAsia="en-US"/>
    </w:rPr>
  </w:style>
  <w:style w:type="paragraph" w:customStyle="1" w:styleId="Titre1">
    <w:name w:val="Titre 1"/>
    <w:basedOn w:val="Normale"/>
    <w:rsid w:val="00C0762F"/>
    <w:rPr>
      <w:rFonts w:ascii="Tahoma" w:hAnsi="Tahoma" w:cs="Tahoma"/>
      <w:b/>
      <w:sz w:val="24"/>
      <w:szCs w:val="24"/>
    </w:rPr>
  </w:style>
  <w:style w:type="character" w:customStyle="1" w:styleId="txt">
    <w:name w:val="txt"/>
    <w:rsid w:val="00E208B3"/>
  </w:style>
  <w:style w:type="character" w:customStyle="1" w:styleId="txt-tecnoborsa">
    <w:name w:val="txt-tecnoborsa"/>
    <w:rsid w:val="00E208B3"/>
  </w:style>
  <w:style w:type="character" w:customStyle="1" w:styleId="TestonormaleCarattere">
    <w:name w:val="Testo normale Carattere"/>
    <w:link w:val="Testonormale"/>
    <w:uiPriority w:val="99"/>
    <w:rsid w:val="003C78A3"/>
    <w:rPr>
      <w:sz w:val="24"/>
    </w:rPr>
  </w:style>
  <w:style w:type="paragraph" w:customStyle="1" w:styleId="Titolo20">
    <w:name w:val="Titolo2"/>
    <w:basedOn w:val="Titolo2"/>
    <w:qFormat/>
    <w:rsid w:val="007C22E2"/>
    <w:pPr>
      <w:spacing w:after="60"/>
    </w:pPr>
    <w:rPr>
      <w:rFonts w:cs="Times New Roman"/>
      <w:bCs/>
      <w:i/>
      <w:iCs/>
      <w:szCs w:val="28"/>
      <w:lang w:eastAsia="it-IT"/>
    </w:rPr>
  </w:style>
  <w:style w:type="paragraph" w:customStyle="1" w:styleId="Titolo10">
    <w:name w:val="Titolo1"/>
    <w:basedOn w:val="Titolo1"/>
    <w:link w:val="Titolo1Carattere0"/>
    <w:qFormat/>
    <w:rsid w:val="00BC59D8"/>
    <w:pPr>
      <w:spacing w:before="120"/>
    </w:pPr>
  </w:style>
  <w:style w:type="character" w:customStyle="1" w:styleId="Titolo1Carattere0">
    <w:name w:val="Titolo1 Carattere"/>
    <w:link w:val="Titolo10"/>
    <w:rsid w:val="00BC59D8"/>
    <w:rPr>
      <w:rFonts w:ascii="Arial" w:hAnsi="Arial" w:cs="Arial"/>
      <w:b/>
      <w:bCs/>
      <w:noProof/>
      <w:sz w:val="24"/>
      <w:szCs w:val="24"/>
    </w:rPr>
  </w:style>
  <w:style w:type="paragraph" w:customStyle="1" w:styleId="Stiletestocorrente">
    <w:name w:val="Stile testo corrente"/>
    <w:basedOn w:val="Normale"/>
    <w:qFormat/>
    <w:rsid w:val="00B85373"/>
    <w:pPr>
      <w:spacing w:line="240" w:lineRule="exact"/>
      <w:ind w:left="1588"/>
      <w:contextualSpacing/>
      <w:jc w:val="both"/>
    </w:pPr>
    <w:rPr>
      <w:rFonts w:ascii="Arial" w:eastAsia="Cambria" w:hAnsi="Arial"/>
      <w:szCs w:val="24"/>
      <w:lang w:eastAsia="en-US"/>
    </w:rPr>
  </w:style>
  <w:style w:type="paragraph" w:customStyle="1" w:styleId="Body1">
    <w:name w:val="Body 1"/>
    <w:rsid w:val="00B64059"/>
    <w:rPr>
      <w:rFonts w:ascii="Helvetica" w:eastAsia="Arial Unicode MS" w:hAnsi="Helvetica"/>
      <w:color w:val="000000"/>
      <w:sz w:val="24"/>
    </w:rPr>
  </w:style>
  <w:style w:type="paragraph" w:styleId="Nessunaspaziatura">
    <w:name w:val="No Spacing"/>
    <w:link w:val="NessunaspaziaturaCarattere"/>
    <w:uiPriority w:val="1"/>
    <w:qFormat/>
    <w:rsid w:val="00F44EF1"/>
    <w:rPr>
      <w:rFonts w:asciiTheme="minorHAnsi" w:eastAsiaTheme="minorEastAsia" w:hAnsiTheme="minorHAnsi" w:cstheme="minorBidi"/>
      <w:sz w:val="22"/>
      <w:szCs w:val="22"/>
    </w:rPr>
  </w:style>
  <w:style w:type="character" w:customStyle="1" w:styleId="NessunaspaziaturaCarattere">
    <w:name w:val="Nessuna spaziatura Carattere"/>
    <w:basedOn w:val="Carpredefinitoparagrafo"/>
    <w:link w:val="Nessunaspaziatura"/>
    <w:uiPriority w:val="1"/>
    <w:rsid w:val="00F44EF1"/>
    <w:rPr>
      <w:rFonts w:asciiTheme="minorHAnsi" w:eastAsiaTheme="minorEastAsia" w:hAnsiTheme="minorHAnsi" w:cstheme="minorBidi"/>
      <w:sz w:val="22"/>
      <w:szCs w:val="22"/>
    </w:rPr>
  </w:style>
  <w:style w:type="paragraph" w:customStyle="1" w:styleId="BodyBullet">
    <w:name w:val="Body Bullet"/>
    <w:rsid w:val="008D33E1"/>
    <w:rPr>
      <w:rFonts w:ascii="Helvetica" w:eastAsia="Arial Unicode MS" w:hAnsi="Helvetica"/>
      <w:color w:val="000000"/>
      <w:sz w:val="24"/>
    </w:rPr>
  </w:style>
  <w:style w:type="table" w:customStyle="1" w:styleId="Grigliatabella1">
    <w:name w:val="Griglia tabella1"/>
    <w:basedOn w:val="Tabellanormale"/>
    <w:next w:val="Grigliatabella"/>
    <w:uiPriority w:val="59"/>
    <w:rsid w:val="00A947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eformattatoHTMLCarattere">
    <w:name w:val="Preformattato HTML Carattere"/>
    <w:basedOn w:val="Carpredefinitoparagrafo"/>
    <w:link w:val="PreformattatoHTML"/>
    <w:uiPriority w:val="99"/>
    <w:rsid w:val="00AA3D58"/>
    <w:rPr>
      <w:rFonts w:ascii="Courier New" w:hAnsi="Courier New" w:cs="Courier New"/>
    </w:rPr>
  </w:style>
  <w:style w:type="paragraph" w:styleId="Titolosommario">
    <w:name w:val="TOC Heading"/>
    <w:basedOn w:val="Titolo1"/>
    <w:next w:val="Normale"/>
    <w:uiPriority w:val="39"/>
    <w:unhideWhenUsed/>
    <w:qFormat/>
    <w:rsid w:val="00025FFD"/>
    <w:pPr>
      <w:keepNext/>
      <w:keepLines/>
      <w:suppressAutoHyphens w:val="0"/>
      <w:spacing w:before="480" w:after="0" w:line="276" w:lineRule="auto"/>
      <w:ind w:right="0"/>
      <w:outlineLvl w:val="9"/>
    </w:pPr>
    <w:rPr>
      <w:rFonts w:asciiTheme="majorHAnsi" w:eastAsiaTheme="majorEastAsia" w:hAnsiTheme="majorHAnsi" w:cstheme="majorBidi"/>
      <w:noProof w:val="0"/>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header" w:uiPriority="99"/>
    <w:lsdException w:name="footer" w:uiPriority="99"/>
    <w:lsdException w:name="caption"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B009E"/>
  </w:style>
  <w:style w:type="paragraph" w:styleId="Titolo1">
    <w:name w:val="heading 1"/>
    <w:aliases w:val="Titolo 1 Carattere2,Titolo 1 Carattere1 Carattere,Titolo 1 Carattere Carattere Carattere,Titolo 1 Carattere2 Carattere Carattere Carattere,Titolo 1 Carattere1 Carattere Carattere Carattere Carattere,Titolo 1 Carattere Carattere1"/>
    <w:basedOn w:val="Normale"/>
    <w:next w:val="Normale"/>
    <w:link w:val="Titolo1Carattere"/>
    <w:autoRedefine/>
    <w:qFormat/>
    <w:rsid w:val="00A93677"/>
    <w:pPr>
      <w:suppressAutoHyphens/>
      <w:spacing w:after="240"/>
      <w:ind w:right="-143"/>
      <w:outlineLvl w:val="0"/>
    </w:pPr>
    <w:rPr>
      <w:rFonts w:ascii="Arial" w:hAnsi="Arial" w:cs="Arial"/>
      <w:b/>
      <w:bCs/>
      <w:smallCaps/>
      <w:noProof/>
      <w:color w:val="000080"/>
      <w:sz w:val="24"/>
      <w:szCs w:val="24"/>
    </w:rPr>
  </w:style>
  <w:style w:type="paragraph" w:styleId="Titolo2">
    <w:name w:val="heading 2"/>
    <w:aliases w:val="Titolo 2 Carattere,Titolo 4 + corsivo Carattere,Titolo 4 + corsivo"/>
    <w:basedOn w:val="Normale"/>
    <w:next w:val="Normale"/>
    <w:link w:val="Titolo2Carattere1"/>
    <w:autoRedefine/>
    <w:qFormat/>
    <w:rsid w:val="006D6367"/>
    <w:pPr>
      <w:suppressAutoHyphens/>
      <w:outlineLvl w:val="1"/>
    </w:pPr>
    <w:rPr>
      <w:rFonts w:ascii="Arial" w:hAnsi="Arial" w:cs="Arial"/>
      <w:b/>
      <w:snapToGrid w:val="0"/>
      <w:color w:val="000080"/>
      <w:lang w:eastAsia="en-US"/>
    </w:rPr>
  </w:style>
  <w:style w:type="paragraph" w:styleId="Titolo3">
    <w:name w:val="heading 3"/>
    <w:aliases w:val="Titolo 3 Carattere"/>
    <w:basedOn w:val="Normale"/>
    <w:next w:val="Normale"/>
    <w:link w:val="Titolo3Carattere1"/>
    <w:autoRedefine/>
    <w:qFormat/>
    <w:rsid w:val="00FD2F19"/>
    <w:pPr>
      <w:keepNext/>
      <w:spacing w:before="240" w:after="120"/>
      <w:ind w:right="-1"/>
      <w:outlineLvl w:val="2"/>
    </w:pPr>
    <w:rPr>
      <w:rFonts w:ascii="Arial" w:hAnsi="Arial" w:cs="Arial"/>
      <w:b/>
      <w:noProof/>
      <w:color w:val="000080"/>
      <w:sz w:val="22"/>
      <w:szCs w:val="22"/>
    </w:rPr>
  </w:style>
  <w:style w:type="paragraph" w:styleId="Titolo4">
    <w:name w:val="heading 4"/>
    <w:basedOn w:val="Normale"/>
    <w:next w:val="Normale"/>
    <w:qFormat/>
    <w:pPr>
      <w:keepNext/>
      <w:outlineLvl w:val="3"/>
    </w:pPr>
    <w:rPr>
      <w:i/>
      <w:iCs/>
    </w:rPr>
  </w:style>
  <w:style w:type="paragraph" w:styleId="Titolo5">
    <w:name w:val="heading 5"/>
    <w:basedOn w:val="Normale"/>
    <w:next w:val="Normale"/>
    <w:qFormat/>
    <w:pPr>
      <w:keepNext/>
      <w:ind w:right="1"/>
      <w:outlineLvl w:val="4"/>
    </w:pPr>
    <w:rPr>
      <w:i/>
    </w:rPr>
  </w:style>
  <w:style w:type="paragraph" w:styleId="Titolo6">
    <w:name w:val="heading 6"/>
    <w:basedOn w:val="Normale"/>
    <w:next w:val="Normale"/>
    <w:qFormat/>
    <w:pPr>
      <w:keepNext/>
      <w:spacing w:after="240"/>
      <w:jc w:val="both"/>
      <w:outlineLvl w:val="5"/>
    </w:pPr>
    <w:rPr>
      <w:rFonts w:ascii="Arial" w:hAnsi="Arial" w:cs="Arial"/>
      <w:b/>
      <w:bCs/>
      <w:smallCaps/>
      <w:color w:val="000000"/>
      <w:sz w:val="24"/>
      <w:szCs w:val="24"/>
    </w:rPr>
  </w:style>
  <w:style w:type="paragraph" w:styleId="Titolo7">
    <w:name w:val="heading 7"/>
    <w:basedOn w:val="Normale"/>
    <w:next w:val="Normale"/>
    <w:qFormat/>
    <w:pPr>
      <w:keepNext/>
      <w:jc w:val="both"/>
      <w:outlineLvl w:val="6"/>
    </w:pPr>
    <w:rPr>
      <w:rFonts w:ascii="TimesNewRoman,Italic" w:hAnsi="TimesNewRoman,Italic"/>
      <w:i/>
      <w:snapToGrid w:val="0"/>
      <w:color w:val="000000"/>
    </w:rPr>
  </w:style>
  <w:style w:type="paragraph" w:styleId="Titolo8">
    <w:name w:val="heading 8"/>
    <w:basedOn w:val="Normale"/>
    <w:next w:val="Normale"/>
    <w:qFormat/>
    <w:pPr>
      <w:keepNext/>
      <w:spacing w:line="360" w:lineRule="auto"/>
      <w:jc w:val="both"/>
      <w:outlineLvl w:val="7"/>
    </w:pPr>
    <w:rPr>
      <w:rFonts w:ascii="Verdana" w:hAnsi="Verdana"/>
      <w:i/>
      <w:iCs/>
      <w:sz w:val="24"/>
      <w:u w:val="single"/>
    </w:rPr>
  </w:style>
  <w:style w:type="paragraph" w:styleId="Titolo9">
    <w:name w:val="heading 9"/>
    <w:basedOn w:val="Normale"/>
    <w:next w:val="Normale"/>
    <w:qFormat/>
    <w:pPr>
      <w:keepNext/>
      <w:ind w:left="708" w:firstLine="708"/>
      <w:outlineLvl w:val="8"/>
    </w:pPr>
    <w:rPr>
      <w:i/>
      <w:iCs/>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untoelenco2">
    <w:name w:val="List Bullet 2"/>
    <w:basedOn w:val="Normale"/>
    <w:autoRedefine/>
    <w:pPr>
      <w:keepNext/>
      <w:numPr>
        <w:numId w:val="1"/>
      </w:numPr>
      <w:tabs>
        <w:tab w:val="clear" w:pos="360"/>
        <w:tab w:val="num" w:pos="-2694"/>
      </w:tabs>
      <w:spacing w:line="360" w:lineRule="auto"/>
      <w:ind w:left="284" w:hanging="284"/>
    </w:pPr>
    <w:rPr>
      <w:b/>
      <w:sz w:val="24"/>
    </w:rPr>
  </w:style>
  <w:style w:type="paragraph" w:styleId="Corpotesto">
    <w:name w:val="Body Text"/>
    <w:aliases w:val="Corpo del testo Carattere1,Corpo del testo Carattere1 Carattere"/>
    <w:basedOn w:val="Normale"/>
    <w:link w:val="CorpotestoCarattere"/>
    <w:pPr>
      <w:widowControl w:val="0"/>
      <w:jc w:val="both"/>
    </w:pPr>
    <w:rPr>
      <w:snapToGrid w:val="0"/>
      <w:sz w:val="24"/>
    </w:rPr>
  </w:style>
  <w:style w:type="paragraph" w:styleId="Rientrocorpodeltesto">
    <w:name w:val="Body Text Indent"/>
    <w:basedOn w:val="Normale"/>
    <w:pPr>
      <w:ind w:left="426"/>
      <w:jc w:val="both"/>
    </w:pPr>
    <w:rPr>
      <w:sz w:val="24"/>
    </w:rPr>
  </w:style>
  <w:style w:type="paragraph" w:styleId="Didascalia">
    <w:name w:val="caption"/>
    <w:basedOn w:val="Normale"/>
    <w:next w:val="Normale"/>
    <w:qFormat/>
    <w:pPr>
      <w:spacing w:line="360" w:lineRule="auto"/>
      <w:jc w:val="both"/>
    </w:pPr>
    <w:rPr>
      <w:rFonts w:ascii="Verdana" w:hAnsi="Verdana"/>
      <w:sz w:val="24"/>
    </w:rPr>
  </w:style>
  <w:style w:type="paragraph" w:styleId="Corpodeltesto2">
    <w:name w:val="Body Text 2"/>
    <w:aliases w:val=" Carattere"/>
    <w:basedOn w:val="Normale"/>
    <w:link w:val="Corpodeltesto2Carattere"/>
    <w:pPr>
      <w:jc w:val="both"/>
    </w:pPr>
    <w:rPr>
      <w:b/>
      <w:sz w:val="24"/>
    </w:rPr>
  </w:style>
  <w:style w:type="paragraph" w:styleId="Intestazione">
    <w:name w:val="header"/>
    <w:aliases w:val=" Carattere1,Carattere1,Intestazione Carattere2 Carattere,Intestazione Carattere Carattere1 Carattere,Carattere1 Carattere Carattere Carattere,Intestazione Carattere Carattere Carattere Carattere"/>
    <w:basedOn w:val="Normale"/>
    <w:link w:val="IntestazioneCarattere"/>
    <w:uiPriority w:val="99"/>
    <w:pPr>
      <w:tabs>
        <w:tab w:val="center" w:pos="4819"/>
        <w:tab w:val="right" w:pos="9638"/>
      </w:tabs>
    </w:pPr>
  </w:style>
  <w:style w:type="character" w:styleId="Numeropagina">
    <w:name w:val="page number"/>
    <w:basedOn w:val="Carpredefinitoparagrafo"/>
  </w:style>
  <w:style w:type="paragraph" w:styleId="Pidipagina">
    <w:name w:val="footer"/>
    <w:basedOn w:val="Normale"/>
    <w:uiPriority w:val="99"/>
    <w:pPr>
      <w:tabs>
        <w:tab w:val="center" w:pos="4819"/>
        <w:tab w:val="right" w:pos="9638"/>
      </w:tabs>
    </w:pPr>
  </w:style>
  <w:style w:type="paragraph" w:styleId="Testonotaapidipagina">
    <w:name w:val="footnote text"/>
    <w:aliases w:val=" Carattere4,Carattere4,Carattere,Testo nota a piè di pagina Carattere1,Testo_note Carattere Carattere,rr_Testo nota a piè di pagina,rr_Testo nota a piè di pagina1,rr_Testo nota a piè di pagina2,rr_Testo nota a piè di pagina3"/>
    <w:basedOn w:val="Normale"/>
    <w:link w:val="TestonotaapidipaginaCarattere"/>
    <w:uiPriority w:val="99"/>
  </w:style>
  <w:style w:type="character" w:styleId="Rimandonotaapidipagina">
    <w:name w:val="footnote reference"/>
    <w:aliases w:val="(Footnote Reference),SUPERS,EN Footnote Reference,Footnote symbol,Footnote reference number,note TESI,Footnote,Footnote number,fr,o,Footnotemark,FR,Footnotemark1,Footnotemark2,FR1,Footnotemark3,FR2,Footnotemark4,FR3,FR4"/>
    <w:uiPriority w:val="99"/>
    <w:rPr>
      <w:vertAlign w:val="superscript"/>
    </w:rPr>
  </w:style>
  <w:style w:type="paragraph" w:styleId="Corpodeltesto3">
    <w:name w:val="Body Text 3"/>
    <w:basedOn w:val="Normale"/>
    <w:pPr>
      <w:jc w:val="both"/>
    </w:pPr>
    <w:rPr>
      <w:i/>
      <w:iCs/>
      <w:sz w:val="24"/>
    </w:rPr>
  </w:style>
  <w:style w:type="paragraph" w:styleId="Testonormale">
    <w:name w:val="Plain Text"/>
    <w:basedOn w:val="Normale"/>
    <w:link w:val="TestonormaleCarattere"/>
    <w:uiPriority w:val="99"/>
    <w:pPr>
      <w:spacing w:after="120" w:line="360" w:lineRule="auto"/>
    </w:pPr>
    <w:rPr>
      <w:sz w:val="24"/>
    </w:rPr>
  </w:style>
  <w:style w:type="paragraph" w:styleId="Sommario1">
    <w:name w:val="toc 1"/>
    <w:basedOn w:val="Normale"/>
    <w:next w:val="Normale"/>
    <w:autoRedefine/>
    <w:uiPriority w:val="39"/>
    <w:rsid w:val="00FB18C9"/>
    <w:pPr>
      <w:tabs>
        <w:tab w:val="right" w:leader="dot" w:pos="8495"/>
      </w:tabs>
      <w:spacing w:before="120" w:after="120"/>
    </w:pPr>
    <w:rPr>
      <w:rFonts w:ascii="Arial" w:hAnsi="Arial" w:cs="Arial"/>
      <w:b/>
      <w:bCs/>
      <w:caps/>
      <w:noProof/>
      <w:snapToGrid w:val="0"/>
      <w:color w:val="000080"/>
      <w:sz w:val="18"/>
      <w:szCs w:val="18"/>
    </w:rPr>
  </w:style>
  <w:style w:type="paragraph" w:styleId="Sommario2">
    <w:name w:val="toc 2"/>
    <w:basedOn w:val="Normale"/>
    <w:next w:val="Normale"/>
    <w:autoRedefine/>
    <w:uiPriority w:val="39"/>
    <w:rsid w:val="009D1FAA"/>
    <w:pPr>
      <w:tabs>
        <w:tab w:val="left" w:pos="567"/>
        <w:tab w:val="right" w:leader="dot" w:pos="8495"/>
      </w:tabs>
      <w:spacing w:after="240"/>
      <w:ind w:left="142"/>
    </w:pPr>
    <w:rPr>
      <w:rFonts w:ascii="Arial" w:hAnsi="Arial" w:cs="Arial"/>
      <w:b/>
      <w:smallCaps/>
      <w:noProof/>
      <w:sz w:val="16"/>
      <w:szCs w:val="16"/>
    </w:rPr>
  </w:style>
  <w:style w:type="paragraph" w:styleId="Sommario3">
    <w:name w:val="toc 3"/>
    <w:basedOn w:val="Normale"/>
    <w:next w:val="Normale"/>
    <w:autoRedefine/>
    <w:uiPriority w:val="39"/>
    <w:rsid w:val="001A2CB6"/>
    <w:pPr>
      <w:tabs>
        <w:tab w:val="right" w:leader="dot" w:pos="8495"/>
      </w:tabs>
      <w:spacing w:after="20"/>
      <w:ind w:left="850" w:hanging="425"/>
    </w:pPr>
    <w:rPr>
      <w:rFonts w:ascii="Arial" w:hAnsi="Arial" w:cs="Arial"/>
      <w:iCs/>
      <w:noProof/>
      <w:sz w:val="16"/>
      <w:szCs w:val="16"/>
    </w:rPr>
  </w:style>
  <w:style w:type="paragraph" w:styleId="Sommario4">
    <w:name w:val="toc 4"/>
    <w:basedOn w:val="Normale"/>
    <w:next w:val="Normale"/>
    <w:autoRedefine/>
    <w:uiPriority w:val="39"/>
    <w:rsid w:val="00CC454F"/>
    <w:pPr>
      <w:tabs>
        <w:tab w:val="right" w:leader="dot" w:pos="8494"/>
      </w:tabs>
      <w:ind w:left="284"/>
    </w:pPr>
    <w:rPr>
      <w:rFonts w:ascii="Arial" w:hAnsi="Arial" w:cs="Arial"/>
      <w:b/>
      <w:noProof/>
      <w:sz w:val="16"/>
      <w:szCs w:val="16"/>
    </w:rPr>
  </w:style>
  <w:style w:type="paragraph" w:styleId="Sommario5">
    <w:name w:val="toc 5"/>
    <w:basedOn w:val="Normale"/>
    <w:next w:val="Normale"/>
    <w:autoRedefine/>
    <w:semiHidden/>
    <w:pPr>
      <w:ind w:left="800"/>
    </w:pPr>
  </w:style>
  <w:style w:type="paragraph" w:styleId="Sommario6">
    <w:name w:val="toc 6"/>
    <w:basedOn w:val="Normale"/>
    <w:next w:val="Normale"/>
    <w:autoRedefine/>
    <w:semiHidden/>
    <w:pPr>
      <w:ind w:left="1000"/>
    </w:pPr>
  </w:style>
  <w:style w:type="paragraph" w:styleId="Sommario7">
    <w:name w:val="toc 7"/>
    <w:basedOn w:val="Normale"/>
    <w:next w:val="Normale"/>
    <w:autoRedefine/>
    <w:semiHidden/>
    <w:pPr>
      <w:ind w:left="1200"/>
    </w:pPr>
  </w:style>
  <w:style w:type="paragraph" w:styleId="Sommario8">
    <w:name w:val="toc 8"/>
    <w:basedOn w:val="Normale"/>
    <w:next w:val="Normale"/>
    <w:autoRedefine/>
    <w:semiHidden/>
    <w:pPr>
      <w:ind w:left="1400"/>
    </w:pPr>
  </w:style>
  <w:style w:type="paragraph" w:styleId="Sommario9">
    <w:name w:val="toc 9"/>
    <w:basedOn w:val="Normale"/>
    <w:next w:val="Normale"/>
    <w:autoRedefine/>
    <w:semiHidden/>
    <w:pPr>
      <w:ind w:left="1600"/>
    </w:pPr>
  </w:style>
  <w:style w:type="character" w:styleId="Collegamentoipertestuale">
    <w:name w:val="Hyperlink"/>
    <w:uiPriority w:val="99"/>
    <w:rPr>
      <w:color w:val="0000FF"/>
      <w:u w:val="single"/>
    </w:rPr>
  </w:style>
  <w:style w:type="paragraph" w:styleId="Rientrocorpodeltesto2">
    <w:name w:val="Body Text Indent 2"/>
    <w:basedOn w:val="Normale"/>
    <w:pPr>
      <w:spacing w:after="240"/>
      <w:ind w:left="543" w:firstLine="567"/>
      <w:jc w:val="both"/>
    </w:pPr>
    <w:rPr>
      <w:rFonts w:ascii="Verdana" w:hAnsi="Verdana"/>
      <w:b/>
      <w:bCs/>
      <w:sz w:val="24"/>
      <w:szCs w:val="24"/>
    </w:rPr>
  </w:style>
  <w:style w:type="paragraph" w:styleId="Rientrocorpodeltesto3">
    <w:name w:val="Body Text Indent 3"/>
    <w:basedOn w:val="Normale"/>
    <w:pPr>
      <w:spacing w:after="240"/>
      <w:ind w:firstLine="543"/>
      <w:jc w:val="both"/>
    </w:pPr>
    <w:rPr>
      <w:rFonts w:ascii="Tahoma" w:hAnsi="Tahoma" w:cs="Tahoma"/>
      <w:bCs/>
      <w:sz w:val="24"/>
      <w:szCs w:val="24"/>
    </w:rPr>
  </w:style>
  <w:style w:type="character" w:styleId="Collegamentovisitato">
    <w:name w:val="FollowedHyperlink"/>
    <w:rPr>
      <w:color w:val="800080"/>
      <w:u w:val="single"/>
    </w:rPr>
  </w:style>
  <w:style w:type="paragraph" w:customStyle="1" w:styleId="xl25">
    <w:name w:val="xl25"/>
    <w:basedOn w:val="Normale"/>
    <w:pPr>
      <w:spacing w:before="100" w:beforeAutospacing="1" w:after="100" w:afterAutospacing="1"/>
    </w:pPr>
    <w:rPr>
      <w:rFonts w:ascii="Arial Unicode MS" w:eastAsia="Arial Unicode MS" w:hAnsi="Arial Unicode MS" w:cs="Arial Unicode MS"/>
      <w:sz w:val="24"/>
      <w:szCs w:val="24"/>
    </w:rPr>
  </w:style>
  <w:style w:type="paragraph" w:customStyle="1" w:styleId="xl26">
    <w:name w:val="xl26"/>
    <w:basedOn w:val="Normale"/>
    <w:pPr>
      <w:spacing w:before="100" w:beforeAutospacing="1" w:after="100" w:afterAutospacing="1"/>
    </w:pPr>
    <w:rPr>
      <w:rFonts w:eastAsia="Arial Unicode MS"/>
      <w:sz w:val="24"/>
      <w:szCs w:val="24"/>
    </w:rPr>
  </w:style>
  <w:style w:type="paragraph" w:customStyle="1" w:styleId="xl27">
    <w:name w:val="xl27"/>
    <w:basedOn w:val="Normale"/>
    <w:pPr>
      <w:pBdr>
        <w:top w:val="single" w:sz="4" w:space="0" w:color="auto"/>
        <w:bottom w:val="single" w:sz="4" w:space="0" w:color="auto"/>
      </w:pBdr>
      <w:spacing w:before="100" w:beforeAutospacing="1" w:after="100" w:afterAutospacing="1"/>
      <w:jc w:val="right"/>
      <w:textAlignment w:val="center"/>
    </w:pPr>
    <w:rPr>
      <w:rFonts w:eastAsia="Arial Unicode MS"/>
      <w:b/>
      <w:bCs/>
      <w:sz w:val="24"/>
      <w:szCs w:val="24"/>
    </w:rPr>
  </w:style>
  <w:style w:type="paragraph" w:customStyle="1" w:styleId="xl28">
    <w:name w:val="xl28"/>
    <w:basedOn w:val="Normale"/>
    <w:pPr>
      <w:pBdr>
        <w:top w:val="single" w:sz="4" w:space="0" w:color="auto"/>
        <w:bottom w:val="single" w:sz="4" w:space="0" w:color="auto"/>
      </w:pBdr>
      <w:spacing w:before="100" w:beforeAutospacing="1" w:after="100" w:afterAutospacing="1"/>
      <w:textAlignment w:val="center"/>
    </w:pPr>
    <w:rPr>
      <w:rFonts w:eastAsia="Arial Unicode MS"/>
      <w:b/>
      <w:bCs/>
      <w:sz w:val="24"/>
      <w:szCs w:val="24"/>
    </w:rPr>
  </w:style>
  <w:style w:type="paragraph" w:customStyle="1" w:styleId="xl29">
    <w:name w:val="xl29"/>
    <w:basedOn w:val="Normale"/>
    <w:pPr>
      <w:spacing w:before="100" w:beforeAutospacing="1" w:after="100" w:afterAutospacing="1"/>
    </w:pPr>
    <w:rPr>
      <w:rFonts w:eastAsia="Arial Unicode MS"/>
      <w:b/>
      <w:bCs/>
      <w:sz w:val="24"/>
      <w:szCs w:val="24"/>
    </w:rPr>
  </w:style>
  <w:style w:type="paragraph" w:customStyle="1" w:styleId="xl30">
    <w:name w:val="xl30"/>
    <w:basedOn w:val="Normale"/>
    <w:pPr>
      <w:spacing w:before="100" w:beforeAutospacing="1" w:after="100" w:afterAutospacing="1"/>
    </w:pPr>
    <w:rPr>
      <w:rFonts w:eastAsia="Arial Unicode MS"/>
      <w:b/>
      <w:bCs/>
      <w:sz w:val="24"/>
      <w:szCs w:val="24"/>
    </w:rPr>
  </w:style>
  <w:style w:type="paragraph" w:customStyle="1" w:styleId="xl31">
    <w:name w:val="xl31"/>
    <w:basedOn w:val="Normale"/>
    <w:pPr>
      <w:spacing w:before="100" w:beforeAutospacing="1" w:after="100" w:afterAutospacing="1"/>
    </w:pPr>
    <w:rPr>
      <w:rFonts w:eastAsia="Arial Unicode MS"/>
      <w:sz w:val="24"/>
      <w:szCs w:val="24"/>
    </w:rPr>
  </w:style>
  <w:style w:type="paragraph" w:customStyle="1" w:styleId="xl32">
    <w:name w:val="xl32"/>
    <w:basedOn w:val="Normale"/>
    <w:pPr>
      <w:spacing w:before="100" w:beforeAutospacing="1" w:after="100" w:afterAutospacing="1"/>
    </w:pPr>
    <w:rPr>
      <w:rFonts w:eastAsia="Arial Unicode MS"/>
      <w:i/>
      <w:iCs/>
      <w:sz w:val="24"/>
      <w:szCs w:val="24"/>
    </w:rPr>
  </w:style>
  <w:style w:type="paragraph" w:customStyle="1" w:styleId="xl33">
    <w:name w:val="xl33"/>
    <w:basedOn w:val="Normale"/>
    <w:pPr>
      <w:spacing w:before="100" w:beforeAutospacing="1" w:after="100" w:afterAutospacing="1"/>
    </w:pPr>
    <w:rPr>
      <w:rFonts w:eastAsia="Arial Unicode MS"/>
      <w:i/>
      <w:iCs/>
      <w:sz w:val="24"/>
      <w:szCs w:val="24"/>
    </w:rPr>
  </w:style>
  <w:style w:type="paragraph" w:customStyle="1" w:styleId="xl34">
    <w:name w:val="xl34"/>
    <w:basedOn w:val="Normale"/>
    <w:pPr>
      <w:spacing w:before="100" w:beforeAutospacing="1" w:after="100" w:afterAutospacing="1"/>
    </w:pPr>
    <w:rPr>
      <w:rFonts w:eastAsia="Arial Unicode MS"/>
      <w:b/>
      <w:bCs/>
      <w:sz w:val="24"/>
      <w:szCs w:val="24"/>
    </w:rPr>
  </w:style>
  <w:style w:type="paragraph" w:customStyle="1" w:styleId="xl35">
    <w:name w:val="xl35"/>
    <w:basedOn w:val="Normale"/>
    <w:pPr>
      <w:spacing w:before="100" w:beforeAutospacing="1" w:after="100" w:afterAutospacing="1"/>
    </w:pPr>
    <w:rPr>
      <w:rFonts w:eastAsia="Arial Unicode MS"/>
      <w:sz w:val="24"/>
      <w:szCs w:val="24"/>
    </w:rPr>
  </w:style>
  <w:style w:type="paragraph" w:customStyle="1" w:styleId="xl36">
    <w:name w:val="xl36"/>
    <w:basedOn w:val="Normale"/>
    <w:pPr>
      <w:spacing w:before="100" w:beforeAutospacing="1" w:after="100" w:afterAutospacing="1"/>
    </w:pPr>
    <w:rPr>
      <w:rFonts w:eastAsia="Arial Unicode MS"/>
      <w:i/>
      <w:iCs/>
      <w:sz w:val="24"/>
      <w:szCs w:val="24"/>
    </w:rPr>
  </w:style>
  <w:style w:type="paragraph" w:customStyle="1" w:styleId="xl37">
    <w:name w:val="xl37"/>
    <w:basedOn w:val="Normale"/>
    <w:pPr>
      <w:pBdr>
        <w:bottom w:val="single" w:sz="4" w:space="0" w:color="auto"/>
      </w:pBdr>
      <w:spacing w:before="100" w:beforeAutospacing="1" w:after="100" w:afterAutospacing="1"/>
    </w:pPr>
    <w:rPr>
      <w:rFonts w:eastAsia="Arial Unicode MS"/>
      <w:sz w:val="24"/>
      <w:szCs w:val="24"/>
    </w:rPr>
  </w:style>
  <w:style w:type="paragraph" w:customStyle="1" w:styleId="xl38">
    <w:name w:val="xl38"/>
    <w:basedOn w:val="Normale"/>
    <w:pPr>
      <w:spacing w:before="100" w:beforeAutospacing="1" w:after="100" w:afterAutospacing="1"/>
    </w:pPr>
    <w:rPr>
      <w:rFonts w:eastAsia="Arial Unicode MS"/>
      <w:i/>
      <w:iCs/>
      <w:sz w:val="24"/>
      <w:szCs w:val="24"/>
    </w:rPr>
  </w:style>
  <w:style w:type="paragraph" w:customStyle="1" w:styleId="xl39">
    <w:name w:val="xl39"/>
    <w:basedOn w:val="Normale"/>
    <w:pPr>
      <w:spacing w:before="100" w:beforeAutospacing="1" w:after="100" w:afterAutospacing="1"/>
      <w:jc w:val="center"/>
    </w:pPr>
    <w:rPr>
      <w:rFonts w:eastAsia="Arial Unicode MS"/>
      <w:sz w:val="24"/>
      <w:szCs w:val="24"/>
    </w:rPr>
  </w:style>
  <w:style w:type="paragraph" w:customStyle="1" w:styleId="xl40">
    <w:name w:val="xl40"/>
    <w:basedOn w:val="Normale"/>
    <w:pPr>
      <w:pBdr>
        <w:top w:val="single" w:sz="4" w:space="0" w:color="auto"/>
      </w:pBdr>
      <w:spacing w:before="100" w:beforeAutospacing="1" w:after="100" w:afterAutospacing="1"/>
      <w:jc w:val="center"/>
    </w:pPr>
    <w:rPr>
      <w:rFonts w:eastAsia="Arial Unicode MS"/>
      <w:sz w:val="24"/>
      <w:szCs w:val="24"/>
    </w:rPr>
  </w:style>
  <w:style w:type="paragraph" w:customStyle="1" w:styleId="xl41">
    <w:name w:val="xl41"/>
    <w:basedOn w:val="Normale"/>
    <w:pPr>
      <w:spacing w:before="100" w:beforeAutospacing="1" w:after="100" w:afterAutospacing="1"/>
    </w:pPr>
    <w:rPr>
      <w:rFonts w:eastAsia="Arial Unicode MS"/>
      <w:i/>
      <w:iCs/>
      <w:sz w:val="24"/>
      <w:szCs w:val="24"/>
    </w:rPr>
  </w:style>
  <w:style w:type="paragraph" w:customStyle="1" w:styleId="xl42">
    <w:name w:val="xl42"/>
    <w:basedOn w:val="Normale"/>
    <w:pPr>
      <w:spacing w:before="100" w:beforeAutospacing="1" w:after="100" w:afterAutospacing="1"/>
      <w:textAlignment w:val="top"/>
    </w:pPr>
    <w:rPr>
      <w:rFonts w:eastAsia="Arial Unicode MS"/>
      <w:i/>
      <w:iCs/>
      <w:sz w:val="24"/>
      <w:szCs w:val="24"/>
    </w:rPr>
  </w:style>
  <w:style w:type="paragraph" w:customStyle="1" w:styleId="xl43">
    <w:name w:val="xl43"/>
    <w:basedOn w:val="Normale"/>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44">
    <w:name w:val="xl44"/>
    <w:basedOn w:val="Normale"/>
    <w:pPr>
      <w:spacing w:before="100" w:beforeAutospacing="1" w:after="100" w:afterAutospacing="1"/>
      <w:textAlignment w:val="top"/>
    </w:pPr>
    <w:rPr>
      <w:rFonts w:eastAsia="Arial Unicode MS"/>
      <w:i/>
      <w:iCs/>
      <w:sz w:val="24"/>
      <w:szCs w:val="24"/>
    </w:rPr>
  </w:style>
  <w:style w:type="paragraph" w:customStyle="1" w:styleId="xl45">
    <w:name w:val="xl45"/>
    <w:basedOn w:val="Normale"/>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46">
    <w:name w:val="xl46"/>
    <w:basedOn w:val="Normale"/>
    <w:pPr>
      <w:spacing w:before="100" w:beforeAutospacing="1" w:after="100" w:afterAutospacing="1"/>
      <w:textAlignment w:val="top"/>
    </w:pPr>
    <w:rPr>
      <w:rFonts w:eastAsia="Arial Unicode MS"/>
      <w:i/>
      <w:iCs/>
      <w:sz w:val="24"/>
      <w:szCs w:val="24"/>
    </w:rPr>
  </w:style>
  <w:style w:type="paragraph" w:customStyle="1" w:styleId="tx">
    <w:name w:val="tx"/>
    <w:basedOn w:val="Normale"/>
    <w:pPr>
      <w:spacing w:before="20" w:after="20"/>
    </w:pPr>
    <w:rPr>
      <w:rFonts w:ascii="Arial Unicode MS" w:eastAsia="Arial Unicode MS" w:hAnsi="Arial Unicode MS" w:cs="Arial Unicode MS"/>
      <w:sz w:val="24"/>
      <w:szCs w:val="24"/>
    </w:rPr>
  </w:style>
  <w:style w:type="paragraph" w:styleId="Testodelblocco">
    <w:name w:val="Block Text"/>
    <w:basedOn w:val="Normale"/>
    <w:pPr>
      <w:spacing w:before="120"/>
      <w:ind w:left="284" w:right="284"/>
      <w:jc w:val="both"/>
    </w:pPr>
    <w:rPr>
      <w:sz w:val="24"/>
    </w:rPr>
  </w:style>
  <w:style w:type="paragraph" w:customStyle="1" w:styleId="rientro22">
    <w:name w:val="rientro 2/2"/>
    <w:basedOn w:val="Normale"/>
    <w:pPr>
      <w:ind w:left="680"/>
      <w:jc w:val="both"/>
    </w:pPr>
    <w:rPr>
      <w:rFonts w:ascii="Courier" w:hAnsi="Courier"/>
      <w:sz w:val="24"/>
    </w:rPr>
  </w:style>
  <w:style w:type="paragraph" w:customStyle="1" w:styleId="firma">
    <w:name w:val="firma"/>
    <w:basedOn w:val="Normale"/>
    <w:pPr>
      <w:tabs>
        <w:tab w:val="center" w:pos="9072"/>
      </w:tabs>
      <w:jc w:val="both"/>
    </w:pPr>
    <w:rPr>
      <w:rFonts w:ascii="Courier" w:hAnsi="Courier"/>
      <w:sz w:val="24"/>
    </w:rPr>
  </w:style>
  <w:style w:type="paragraph" w:customStyle="1" w:styleId="font5">
    <w:name w:val="font5"/>
    <w:basedOn w:val="Normale"/>
    <w:pPr>
      <w:spacing w:before="100" w:beforeAutospacing="1" w:after="100" w:afterAutospacing="1"/>
    </w:pPr>
    <w:rPr>
      <w:rFonts w:eastAsia="Arial Unicode MS"/>
      <w:b/>
      <w:bCs/>
      <w:sz w:val="22"/>
      <w:szCs w:val="22"/>
    </w:rPr>
  </w:style>
  <w:style w:type="character" w:customStyle="1" w:styleId="CorpodeltestoCarattere">
    <w:name w:val="Corpo del testo Carattere"/>
    <w:rPr>
      <w:sz w:val="24"/>
      <w:lang w:val="it-IT" w:eastAsia="it-IT" w:bidi="ar-SA"/>
    </w:rPr>
  </w:style>
  <w:style w:type="paragraph" w:customStyle="1" w:styleId="StileTitolo2Tahoma12ptNonGrassetto">
    <w:name w:val="Stile Titolo 2 + Tahoma 12 pt Non Grassetto"/>
    <w:basedOn w:val="Titolo2"/>
    <w:pPr>
      <w:spacing w:before="360" w:after="360"/>
    </w:pPr>
    <w:rPr>
      <w:rFonts w:ascii="Tahoma" w:hAnsi="Tahoma"/>
      <w:iCs/>
      <w:szCs w:val="28"/>
    </w:rPr>
  </w:style>
  <w:style w:type="paragraph" w:styleId="Testofumetto">
    <w:name w:val="Balloon Text"/>
    <w:basedOn w:val="Normale"/>
    <w:link w:val="TestofumettoCarattere"/>
    <w:semiHidden/>
    <w:pPr>
      <w:spacing w:after="120"/>
      <w:jc w:val="both"/>
    </w:pPr>
    <w:rPr>
      <w:rFonts w:ascii="Tahoma" w:hAnsi="Tahoma" w:cs="Tahoma"/>
      <w:sz w:val="16"/>
      <w:szCs w:val="16"/>
    </w:rPr>
  </w:style>
  <w:style w:type="paragraph" w:customStyle="1" w:styleId="StileTitolo3NonGrassettoCorsivo">
    <w:name w:val="Stile Titolo 3 + Non Grassetto Corsivo"/>
    <w:basedOn w:val="Titolo3"/>
    <w:rPr>
      <w:rFonts w:ascii="Tahoma" w:hAnsi="Tahoma"/>
      <w:b w:val="0"/>
      <w:bCs/>
      <w:szCs w:val="26"/>
    </w:rPr>
  </w:style>
  <w:style w:type="character" w:customStyle="1" w:styleId="StileTahoma10ptCorsivo">
    <w:name w:val="Stile Tahoma 10 pt Corsivo"/>
    <w:rPr>
      <w:i/>
      <w:iCs/>
      <w:sz w:val="20"/>
    </w:rPr>
  </w:style>
  <w:style w:type="character" w:customStyle="1" w:styleId="StileCorsivo">
    <w:name w:val="Stile Corsivo"/>
    <w:rPr>
      <w:i/>
      <w:iCs/>
    </w:rPr>
  </w:style>
  <w:style w:type="paragraph" w:customStyle="1" w:styleId="Corpodeltesto21">
    <w:name w:val="Corpo del testo 21"/>
    <w:basedOn w:val="Normale"/>
    <w:pPr>
      <w:spacing w:before="240"/>
      <w:jc w:val="both"/>
    </w:pPr>
    <w:rPr>
      <w:rFonts w:ascii="Arial Narrow" w:hAnsi="Arial Narrow"/>
      <w:sz w:val="24"/>
    </w:rPr>
  </w:style>
  <w:style w:type="paragraph" w:styleId="Sottotitolo">
    <w:name w:val="Subtitle"/>
    <w:basedOn w:val="Normale"/>
    <w:qFormat/>
    <w:pPr>
      <w:jc w:val="both"/>
    </w:pPr>
    <w:rPr>
      <w:b/>
      <w:sz w:val="24"/>
    </w:rPr>
  </w:style>
  <w:style w:type="paragraph" w:customStyle="1" w:styleId="titolo40">
    <w:name w:val="titolo 4"/>
    <w:basedOn w:val="Normale"/>
    <w:pPr>
      <w:spacing w:after="120"/>
    </w:pPr>
    <w:rPr>
      <w:rFonts w:ascii="Tahoma" w:hAnsi="Tahoma"/>
      <w:b/>
      <w:i/>
      <w:smallCaps/>
      <w:sz w:val="28"/>
      <w:szCs w:val="24"/>
    </w:rPr>
  </w:style>
  <w:style w:type="paragraph" w:customStyle="1" w:styleId="Stile1">
    <w:name w:val="Stile1"/>
    <w:basedOn w:val="Normale"/>
    <w:next w:val="Titolo4"/>
    <w:autoRedefine/>
    <w:pPr>
      <w:ind w:left="360" w:hanging="360"/>
    </w:pPr>
    <w:rPr>
      <w:rFonts w:cs="Tahoma"/>
      <w:i/>
      <w:sz w:val="18"/>
      <w:szCs w:val="18"/>
    </w:rPr>
  </w:style>
  <w:style w:type="paragraph" w:styleId="Data">
    <w:name w:val="Date"/>
    <w:basedOn w:val="Normale"/>
    <w:next w:val="Normale"/>
  </w:style>
  <w:style w:type="paragraph" w:styleId="Elenco">
    <w:name w:val="List"/>
    <w:basedOn w:val="Normale"/>
    <w:pPr>
      <w:ind w:left="283" w:hanging="283"/>
    </w:pPr>
  </w:style>
  <w:style w:type="paragraph" w:styleId="Elenco2">
    <w:name w:val="List 2"/>
    <w:basedOn w:val="Normale"/>
    <w:pPr>
      <w:ind w:left="566" w:hanging="283"/>
    </w:pPr>
  </w:style>
  <w:style w:type="paragraph" w:styleId="Elenco3">
    <w:name w:val="List 3"/>
    <w:basedOn w:val="Normale"/>
    <w:pPr>
      <w:ind w:left="849" w:hanging="283"/>
    </w:pPr>
  </w:style>
  <w:style w:type="paragraph" w:styleId="Elenco4">
    <w:name w:val="List 4"/>
    <w:basedOn w:val="Normale"/>
    <w:pPr>
      <w:ind w:left="1132" w:hanging="283"/>
    </w:pPr>
  </w:style>
  <w:style w:type="paragraph" w:styleId="Elenco5">
    <w:name w:val="List 5"/>
    <w:basedOn w:val="Normale"/>
    <w:pPr>
      <w:ind w:left="1415" w:hanging="283"/>
    </w:pPr>
  </w:style>
  <w:style w:type="paragraph" w:styleId="Elencocontinua">
    <w:name w:val="List Continue"/>
    <w:basedOn w:val="Normale"/>
    <w:pPr>
      <w:spacing w:after="120"/>
      <w:ind w:left="283"/>
    </w:pPr>
  </w:style>
  <w:style w:type="paragraph" w:styleId="Elencocontinua2">
    <w:name w:val="List Continue 2"/>
    <w:basedOn w:val="Normale"/>
    <w:pPr>
      <w:spacing w:after="120"/>
      <w:ind w:left="566"/>
    </w:pPr>
  </w:style>
  <w:style w:type="paragraph" w:styleId="Elencocontinua3">
    <w:name w:val="List Continue 3"/>
    <w:basedOn w:val="Normale"/>
    <w:pPr>
      <w:spacing w:after="120"/>
      <w:ind w:left="849"/>
    </w:pPr>
  </w:style>
  <w:style w:type="paragraph" w:styleId="Elencocontinua4">
    <w:name w:val="List Continue 4"/>
    <w:basedOn w:val="Normale"/>
    <w:pPr>
      <w:spacing w:after="120"/>
      <w:ind w:left="1132"/>
    </w:pPr>
  </w:style>
  <w:style w:type="paragraph" w:styleId="Elencocontinua5">
    <w:name w:val="List Continue 5"/>
    <w:basedOn w:val="Normale"/>
    <w:pPr>
      <w:spacing w:after="120"/>
      <w:ind w:left="1415"/>
    </w:pPr>
  </w:style>
  <w:style w:type="paragraph" w:styleId="Firma0">
    <w:name w:val="Signature"/>
    <w:basedOn w:val="Normale"/>
    <w:pPr>
      <w:ind w:left="4252"/>
    </w:pPr>
  </w:style>
  <w:style w:type="paragraph" w:styleId="Firmadipostaelettronica">
    <w:name w:val="E-mail Signature"/>
    <w:basedOn w:val="Normale"/>
  </w:style>
  <w:style w:type="paragraph" w:styleId="Formuladiapertura">
    <w:name w:val="Salutation"/>
    <w:basedOn w:val="Normale"/>
    <w:next w:val="Normale"/>
  </w:style>
  <w:style w:type="paragraph" w:styleId="Formuladichiusura">
    <w:name w:val="Closing"/>
    <w:basedOn w:val="Normale"/>
    <w:pPr>
      <w:ind w:left="4252"/>
    </w:pPr>
  </w:style>
  <w:style w:type="paragraph" w:styleId="Indice1">
    <w:name w:val="index 1"/>
    <w:basedOn w:val="Normale"/>
    <w:next w:val="Normale"/>
    <w:autoRedefine/>
    <w:semiHidden/>
    <w:pPr>
      <w:ind w:left="200" w:hanging="200"/>
    </w:pPr>
  </w:style>
  <w:style w:type="paragraph" w:styleId="Indice2">
    <w:name w:val="index 2"/>
    <w:basedOn w:val="Normale"/>
    <w:next w:val="Normale"/>
    <w:autoRedefine/>
    <w:semiHidden/>
    <w:pPr>
      <w:ind w:left="400" w:hanging="200"/>
    </w:pPr>
  </w:style>
  <w:style w:type="paragraph" w:styleId="Indice3">
    <w:name w:val="index 3"/>
    <w:basedOn w:val="Normale"/>
    <w:next w:val="Normale"/>
    <w:autoRedefine/>
    <w:semiHidden/>
    <w:pPr>
      <w:ind w:left="600" w:hanging="200"/>
    </w:pPr>
  </w:style>
  <w:style w:type="paragraph" w:styleId="Indice4">
    <w:name w:val="index 4"/>
    <w:basedOn w:val="Normale"/>
    <w:next w:val="Normale"/>
    <w:autoRedefine/>
    <w:semiHidden/>
    <w:pPr>
      <w:ind w:left="800" w:hanging="200"/>
    </w:pPr>
  </w:style>
  <w:style w:type="paragraph" w:styleId="Indice5">
    <w:name w:val="index 5"/>
    <w:basedOn w:val="Normale"/>
    <w:next w:val="Normale"/>
    <w:autoRedefine/>
    <w:semiHidden/>
    <w:pPr>
      <w:ind w:left="1000" w:hanging="200"/>
    </w:pPr>
  </w:style>
  <w:style w:type="paragraph" w:styleId="Indice6">
    <w:name w:val="index 6"/>
    <w:basedOn w:val="Normale"/>
    <w:next w:val="Normale"/>
    <w:autoRedefine/>
    <w:semiHidden/>
    <w:pPr>
      <w:ind w:left="1200" w:hanging="200"/>
    </w:pPr>
  </w:style>
  <w:style w:type="paragraph" w:styleId="Indice7">
    <w:name w:val="index 7"/>
    <w:basedOn w:val="Normale"/>
    <w:next w:val="Normale"/>
    <w:autoRedefine/>
    <w:semiHidden/>
    <w:pPr>
      <w:ind w:left="1400" w:hanging="200"/>
    </w:pPr>
  </w:style>
  <w:style w:type="paragraph" w:styleId="Indice8">
    <w:name w:val="index 8"/>
    <w:basedOn w:val="Normale"/>
    <w:next w:val="Normale"/>
    <w:autoRedefine/>
    <w:semiHidden/>
    <w:pPr>
      <w:ind w:left="1600" w:hanging="200"/>
    </w:pPr>
  </w:style>
  <w:style w:type="paragraph" w:styleId="Indice9">
    <w:name w:val="index 9"/>
    <w:basedOn w:val="Normale"/>
    <w:next w:val="Normale"/>
    <w:autoRedefine/>
    <w:semiHidden/>
    <w:pPr>
      <w:ind w:left="1800" w:hanging="200"/>
    </w:pPr>
  </w:style>
  <w:style w:type="paragraph" w:styleId="Indicedellefigure">
    <w:name w:val="table of figures"/>
    <w:basedOn w:val="Normale"/>
    <w:next w:val="Normale"/>
    <w:semiHidden/>
    <w:pPr>
      <w:ind w:left="400" w:hanging="400"/>
    </w:pPr>
  </w:style>
  <w:style w:type="paragraph" w:styleId="Indicefonti">
    <w:name w:val="table of authorities"/>
    <w:basedOn w:val="Normale"/>
    <w:next w:val="Normale"/>
    <w:semiHidden/>
    <w:pPr>
      <w:ind w:left="200" w:hanging="200"/>
    </w:pPr>
  </w:style>
  <w:style w:type="paragraph" w:styleId="Indirizzodestinatario">
    <w:name w:val="envelope address"/>
    <w:basedOn w:val="Normale"/>
    <w:pPr>
      <w:framePr w:w="7920" w:h="1980" w:hRule="exact" w:hSpace="141" w:wrap="auto" w:hAnchor="page" w:xAlign="center" w:yAlign="bottom"/>
      <w:ind w:left="2880"/>
    </w:pPr>
    <w:rPr>
      <w:rFonts w:ascii="Arial" w:hAnsi="Arial" w:cs="Arial"/>
      <w:sz w:val="24"/>
      <w:szCs w:val="24"/>
    </w:rPr>
  </w:style>
  <w:style w:type="paragraph" w:styleId="IndirizzoHTML">
    <w:name w:val="HTML Address"/>
    <w:basedOn w:val="Normale"/>
    <w:rPr>
      <w:i/>
      <w:iCs/>
    </w:rPr>
  </w:style>
  <w:style w:type="paragraph" w:styleId="Indirizzomittente">
    <w:name w:val="envelope return"/>
    <w:basedOn w:val="Normale"/>
    <w:rPr>
      <w:rFonts w:ascii="Arial" w:hAnsi="Arial" w:cs="Arial"/>
    </w:rPr>
  </w:style>
  <w:style w:type="paragraph" w:styleId="Intestazionemessaggio">
    <w:name w:val="Message Header"/>
    <w:basedOn w:val="Normal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Intestazionenota">
    <w:name w:val="Note Heading"/>
    <w:basedOn w:val="Normale"/>
    <w:next w:val="Normale"/>
  </w:style>
  <w:style w:type="paragraph" w:styleId="Mappadocumento">
    <w:name w:val="Document Map"/>
    <w:basedOn w:val="Normale"/>
    <w:semiHidden/>
    <w:pPr>
      <w:shd w:val="clear" w:color="auto" w:fill="000080"/>
    </w:pPr>
    <w:rPr>
      <w:rFonts w:ascii="Tahoma" w:hAnsi="Tahoma" w:cs="Tahoma"/>
    </w:rPr>
  </w:style>
  <w:style w:type="paragraph" w:styleId="NormaleWeb">
    <w:name w:val="Normal (Web)"/>
    <w:basedOn w:val="Normale"/>
    <w:uiPriority w:val="99"/>
    <w:rPr>
      <w:sz w:val="24"/>
      <w:szCs w:val="24"/>
    </w:rPr>
  </w:style>
  <w:style w:type="paragraph" w:styleId="Numeroelenco">
    <w:name w:val="List Number"/>
    <w:basedOn w:val="Normale"/>
    <w:pPr>
      <w:numPr>
        <w:numId w:val="2"/>
      </w:numPr>
    </w:pPr>
  </w:style>
  <w:style w:type="paragraph" w:styleId="Numeroelenco2">
    <w:name w:val="List Number 2"/>
    <w:basedOn w:val="Normale"/>
    <w:pPr>
      <w:numPr>
        <w:numId w:val="3"/>
      </w:numPr>
    </w:pPr>
  </w:style>
  <w:style w:type="paragraph" w:styleId="Numeroelenco3">
    <w:name w:val="List Number 3"/>
    <w:basedOn w:val="Normale"/>
    <w:pPr>
      <w:numPr>
        <w:numId w:val="4"/>
      </w:numPr>
    </w:pPr>
  </w:style>
  <w:style w:type="paragraph" w:styleId="Numeroelenco4">
    <w:name w:val="List Number 4"/>
    <w:basedOn w:val="Normale"/>
    <w:pPr>
      <w:numPr>
        <w:numId w:val="5"/>
      </w:numPr>
    </w:pPr>
  </w:style>
  <w:style w:type="paragraph" w:styleId="Numeroelenco5">
    <w:name w:val="List Number 5"/>
    <w:basedOn w:val="Normale"/>
    <w:pPr>
      <w:numPr>
        <w:numId w:val="6"/>
      </w:numPr>
    </w:pPr>
  </w:style>
  <w:style w:type="paragraph" w:styleId="PreformattatoHTML">
    <w:name w:val="HTML Preformatted"/>
    <w:basedOn w:val="Normale"/>
    <w:link w:val="PreformattatoHTMLCarattere"/>
    <w:uiPriority w:val="99"/>
    <w:rPr>
      <w:rFonts w:ascii="Courier New" w:hAnsi="Courier New" w:cs="Courier New"/>
    </w:rPr>
  </w:style>
  <w:style w:type="paragraph" w:styleId="Primorientrocorpodeltesto">
    <w:name w:val="Body Text First Indent"/>
    <w:basedOn w:val="Corpotesto"/>
    <w:pPr>
      <w:widowControl/>
      <w:spacing w:after="120"/>
      <w:ind w:firstLine="210"/>
      <w:jc w:val="left"/>
    </w:pPr>
    <w:rPr>
      <w:snapToGrid/>
      <w:sz w:val="20"/>
    </w:rPr>
  </w:style>
  <w:style w:type="paragraph" w:styleId="Primorientrocorpodeltesto2">
    <w:name w:val="Body Text First Indent 2"/>
    <w:basedOn w:val="Rientrocorpodeltesto"/>
    <w:pPr>
      <w:spacing w:after="120"/>
      <w:ind w:left="283" w:firstLine="210"/>
      <w:jc w:val="left"/>
    </w:pPr>
    <w:rPr>
      <w:sz w:val="20"/>
    </w:rPr>
  </w:style>
  <w:style w:type="paragraph" w:styleId="Puntoelenco">
    <w:name w:val="List Bullet"/>
    <w:basedOn w:val="Normale"/>
    <w:autoRedefine/>
    <w:pPr>
      <w:numPr>
        <w:numId w:val="7"/>
      </w:numPr>
    </w:pPr>
  </w:style>
  <w:style w:type="paragraph" w:styleId="Puntoelenco3">
    <w:name w:val="List Bullet 3"/>
    <w:basedOn w:val="Normale"/>
    <w:autoRedefine/>
    <w:pPr>
      <w:numPr>
        <w:numId w:val="8"/>
      </w:numPr>
    </w:pPr>
  </w:style>
  <w:style w:type="paragraph" w:styleId="Puntoelenco4">
    <w:name w:val="List Bullet 4"/>
    <w:basedOn w:val="Normale"/>
    <w:autoRedefine/>
    <w:pPr>
      <w:numPr>
        <w:numId w:val="9"/>
      </w:numPr>
    </w:pPr>
  </w:style>
  <w:style w:type="paragraph" w:styleId="Puntoelenco5">
    <w:name w:val="List Bullet 5"/>
    <w:basedOn w:val="Normale"/>
    <w:autoRedefine/>
    <w:pPr>
      <w:numPr>
        <w:numId w:val="10"/>
      </w:numPr>
    </w:pPr>
  </w:style>
  <w:style w:type="paragraph" w:styleId="Rientronormale">
    <w:name w:val="Normal Indent"/>
    <w:basedOn w:val="Normale"/>
    <w:pPr>
      <w:ind w:left="708"/>
    </w:pPr>
  </w:style>
  <w:style w:type="paragraph" w:styleId="Testocommento">
    <w:name w:val="annotation text"/>
    <w:basedOn w:val="Normale"/>
    <w:semiHidden/>
  </w:style>
  <w:style w:type="paragraph" w:styleId="Soggettocommento">
    <w:name w:val="annotation subject"/>
    <w:basedOn w:val="Testocommento"/>
    <w:next w:val="Testocommento"/>
    <w:semiHidden/>
    <w:rPr>
      <w:b/>
      <w:bCs/>
    </w:rPr>
  </w:style>
  <w:style w:type="paragraph" w:styleId="Testomacro">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estonotadichiusura">
    <w:name w:val="endnote text"/>
    <w:basedOn w:val="Normale"/>
    <w:link w:val="TestonotadichiusuraCarattere"/>
    <w:semiHidden/>
  </w:style>
  <w:style w:type="paragraph" w:styleId="Titolo">
    <w:name w:val="Title"/>
    <w:basedOn w:val="Normale"/>
    <w:qFormat/>
    <w:pPr>
      <w:spacing w:before="240" w:after="60"/>
      <w:jc w:val="center"/>
      <w:outlineLvl w:val="0"/>
    </w:pPr>
    <w:rPr>
      <w:rFonts w:ascii="Arial" w:hAnsi="Arial" w:cs="Arial"/>
      <w:b/>
      <w:bCs/>
      <w:kern w:val="28"/>
      <w:sz w:val="32"/>
      <w:szCs w:val="32"/>
    </w:rPr>
  </w:style>
  <w:style w:type="paragraph" w:styleId="Titoloindice">
    <w:name w:val="index heading"/>
    <w:basedOn w:val="Normale"/>
    <w:next w:val="Indice1"/>
    <w:semiHidden/>
    <w:rPr>
      <w:rFonts w:ascii="Arial" w:hAnsi="Arial" w:cs="Arial"/>
      <w:b/>
      <w:bCs/>
    </w:rPr>
  </w:style>
  <w:style w:type="paragraph" w:styleId="Titoloindicefonti">
    <w:name w:val="toa heading"/>
    <w:basedOn w:val="Normale"/>
    <w:next w:val="Normale"/>
    <w:semiHidden/>
    <w:pPr>
      <w:spacing w:before="120"/>
    </w:pPr>
    <w:rPr>
      <w:rFonts w:ascii="Arial" w:hAnsi="Arial" w:cs="Arial"/>
      <w:b/>
      <w:bCs/>
      <w:sz w:val="24"/>
      <w:szCs w:val="24"/>
    </w:rPr>
  </w:style>
  <w:style w:type="character" w:customStyle="1" w:styleId="CorpodeltestoCarattereCarattere">
    <w:name w:val="Corpo del testo Carattere Carattere"/>
    <w:aliases w:val="Corpo del testo Carattere1 Carattere Carattere1,Corpo del testo Carattere1 Carattere1 Carattere,Corpo del testo Carattere1 Carattere Carattere Carattere Carattere"/>
    <w:rPr>
      <w:sz w:val="24"/>
      <w:lang w:val="it-IT" w:eastAsia="it-IT" w:bidi="ar-SA"/>
    </w:rPr>
  </w:style>
  <w:style w:type="paragraph" w:customStyle="1" w:styleId="font6">
    <w:name w:val="font6"/>
    <w:basedOn w:val="Normale"/>
    <w:pPr>
      <w:spacing w:before="100" w:beforeAutospacing="1" w:after="100" w:afterAutospacing="1"/>
    </w:pPr>
    <w:rPr>
      <w:rFonts w:eastAsia="Arial Unicode MS"/>
    </w:rPr>
  </w:style>
  <w:style w:type="paragraph" w:customStyle="1" w:styleId="xl24">
    <w:name w:val="xl24"/>
    <w:basedOn w:val="Normale"/>
    <w:pPr>
      <w:spacing w:before="100" w:beforeAutospacing="1" w:after="100" w:afterAutospacing="1"/>
    </w:pPr>
    <w:rPr>
      <w:rFonts w:eastAsia="Arial Unicode MS"/>
      <w:sz w:val="24"/>
      <w:szCs w:val="24"/>
    </w:rPr>
  </w:style>
  <w:style w:type="paragraph" w:customStyle="1" w:styleId="xl47">
    <w:name w:val="xl47"/>
    <w:basedOn w:val="Normale"/>
    <w:pP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48">
    <w:name w:val="xl48"/>
    <w:basedOn w:val="Normale"/>
    <w:pPr>
      <w:pBdr>
        <w:bottom w:val="single" w:sz="8" w:space="0" w:color="808080"/>
      </w:pBdr>
      <w:spacing w:before="100" w:beforeAutospacing="1" w:after="100" w:afterAutospacing="1"/>
      <w:jc w:val="center"/>
      <w:textAlignment w:val="center"/>
    </w:pPr>
    <w:rPr>
      <w:rFonts w:ascii="Tahoma" w:eastAsia="Arial Unicode MS" w:hAnsi="Tahoma" w:cs="Tahoma"/>
      <w:b/>
      <w:bCs/>
      <w:color w:val="000080"/>
      <w:sz w:val="22"/>
      <w:szCs w:val="22"/>
    </w:rPr>
  </w:style>
  <w:style w:type="paragraph" w:customStyle="1" w:styleId="xl49">
    <w:name w:val="xl49"/>
    <w:basedOn w:val="Normale"/>
    <w:pPr>
      <w:pBdr>
        <w:bottom w:val="single" w:sz="8" w:space="0" w:color="808080"/>
      </w:pBdr>
      <w:spacing w:before="100" w:beforeAutospacing="1" w:after="100" w:afterAutospacing="1"/>
      <w:jc w:val="center"/>
      <w:textAlignment w:val="center"/>
    </w:pPr>
    <w:rPr>
      <w:rFonts w:ascii="Tahoma" w:eastAsia="Arial Unicode MS" w:hAnsi="Tahoma" w:cs="Tahoma"/>
      <w:b/>
      <w:bCs/>
      <w:color w:val="000080"/>
      <w:sz w:val="22"/>
      <w:szCs w:val="22"/>
    </w:rPr>
  </w:style>
  <w:style w:type="paragraph" w:customStyle="1" w:styleId="rientro1">
    <w:name w:val="rientro 1"/>
    <w:basedOn w:val="Normale"/>
    <w:pPr>
      <w:ind w:left="340" w:hanging="340"/>
      <w:jc w:val="both"/>
    </w:pPr>
    <w:rPr>
      <w:rFonts w:ascii="Courier" w:hAnsi="Courier"/>
      <w:sz w:val="24"/>
    </w:rPr>
  </w:style>
  <w:style w:type="character" w:customStyle="1" w:styleId="PidipaginaCarattere">
    <w:name w:val="Piè di pagina Carattere"/>
    <w:uiPriority w:val="99"/>
    <w:rPr>
      <w:rFonts w:ascii="Tahoma" w:hAnsi="Tahoma"/>
      <w:i/>
      <w:szCs w:val="24"/>
      <w:lang w:val="it-IT" w:eastAsia="it-IT" w:bidi="ar-SA"/>
    </w:rPr>
  </w:style>
  <w:style w:type="paragraph" w:customStyle="1" w:styleId="font7">
    <w:name w:val="font7"/>
    <w:basedOn w:val="Normale"/>
    <w:pPr>
      <w:spacing w:before="100" w:beforeAutospacing="1" w:after="100" w:afterAutospacing="1"/>
    </w:pPr>
    <w:rPr>
      <w:rFonts w:ascii="Tahoma" w:eastAsia="Arial Unicode MS" w:hAnsi="Tahoma" w:cs="Tahoma"/>
      <w:b/>
      <w:bCs/>
      <w:color w:val="000000"/>
      <w:sz w:val="16"/>
      <w:szCs w:val="16"/>
    </w:rPr>
  </w:style>
  <w:style w:type="paragraph" w:customStyle="1" w:styleId="font8">
    <w:name w:val="font8"/>
    <w:basedOn w:val="Normale"/>
    <w:pPr>
      <w:spacing w:before="100" w:beforeAutospacing="1" w:after="100" w:afterAutospacing="1"/>
    </w:pPr>
    <w:rPr>
      <w:rFonts w:ascii="Tahoma" w:eastAsia="Arial Unicode MS" w:hAnsi="Tahoma" w:cs="Tahoma"/>
      <w:color w:val="000000"/>
      <w:sz w:val="16"/>
      <w:szCs w:val="16"/>
    </w:rPr>
  </w:style>
  <w:style w:type="paragraph" w:customStyle="1" w:styleId="xl50">
    <w:name w:val="xl50"/>
    <w:basedOn w:val="Normale"/>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51">
    <w:name w:val="xl51"/>
    <w:basedOn w:val="Normal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52">
    <w:name w:val="xl52"/>
    <w:basedOn w:val="Normal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24"/>
      <w:szCs w:val="24"/>
    </w:rPr>
  </w:style>
  <w:style w:type="paragraph" w:customStyle="1" w:styleId="xl53">
    <w:name w:val="xl53"/>
    <w:basedOn w:val="Normal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54">
    <w:name w:val="xl54"/>
    <w:basedOn w:val="Normal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55">
    <w:name w:val="xl55"/>
    <w:basedOn w:val="Normal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56">
    <w:name w:val="xl56"/>
    <w:basedOn w:val="Normal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57">
    <w:name w:val="xl57"/>
    <w:basedOn w:val="Normale"/>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eastAsia="Arial Unicode MS" w:hAnsi="Arial" w:cs="Arial"/>
      <w:sz w:val="24"/>
      <w:szCs w:val="24"/>
    </w:rPr>
  </w:style>
  <w:style w:type="paragraph" w:customStyle="1" w:styleId="xl58">
    <w:name w:val="xl58"/>
    <w:basedOn w:val="Normale"/>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24"/>
      <w:szCs w:val="24"/>
    </w:rPr>
  </w:style>
  <w:style w:type="paragraph" w:customStyle="1" w:styleId="xl59">
    <w:name w:val="xl59"/>
    <w:basedOn w:val="Normale"/>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0">
    <w:name w:val="xl60"/>
    <w:basedOn w:val="Normale"/>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1">
    <w:name w:val="xl61"/>
    <w:basedOn w:val="Normal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62">
    <w:name w:val="xl62"/>
    <w:basedOn w:val="Normale"/>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24"/>
      <w:szCs w:val="24"/>
    </w:rPr>
  </w:style>
  <w:style w:type="paragraph" w:customStyle="1" w:styleId="xl63">
    <w:name w:val="xl63"/>
    <w:basedOn w:val="Normale"/>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64">
    <w:name w:val="xl64"/>
    <w:basedOn w:val="Normal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65">
    <w:name w:val="xl65"/>
    <w:basedOn w:val="Normale"/>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66">
    <w:name w:val="xl66"/>
    <w:basedOn w:val="Normale"/>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67">
    <w:name w:val="xl67"/>
    <w:basedOn w:val="Normale"/>
    <w:pPr>
      <w:pBdr>
        <w:top w:val="single" w:sz="4" w:space="0" w:color="auto"/>
        <w:left w:val="single" w:sz="4" w:space="0" w:color="auto"/>
        <w:right w:val="single" w:sz="4" w:space="0" w:color="auto"/>
      </w:pBdr>
      <w:spacing w:before="100" w:beforeAutospacing="1" w:after="100" w:afterAutospacing="1"/>
      <w:jc w:val="right"/>
    </w:pPr>
    <w:rPr>
      <w:rFonts w:ascii="Arial" w:eastAsia="Arial Unicode MS" w:hAnsi="Arial" w:cs="Arial"/>
      <w:sz w:val="24"/>
      <w:szCs w:val="24"/>
    </w:rPr>
  </w:style>
  <w:style w:type="paragraph" w:customStyle="1" w:styleId="xl68">
    <w:name w:val="xl68"/>
    <w:basedOn w:val="Normale"/>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69">
    <w:name w:val="xl69"/>
    <w:basedOn w:val="Normale"/>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70">
    <w:name w:val="xl70"/>
    <w:basedOn w:val="Normale"/>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71">
    <w:name w:val="xl71"/>
    <w:basedOn w:val="Normale"/>
    <w:pPr>
      <w:pBdr>
        <w:top w:val="single" w:sz="4" w:space="0" w:color="auto"/>
        <w:left w:val="single" w:sz="4" w:space="0" w:color="auto"/>
      </w:pBdr>
      <w:spacing w:before="100" w:beforeAutospacing="1" w:after="100" w:afterAutospacing="1"/>
    </w:pPr>
    <w:rPr>
      <w:rFonts w:ascii="Arial" w:eastAsia="Arial Unicode MS" w:hAnsi="Arial" w:cs="Arial"/>
      <w:sz w:val="24"/>
      <w:szCs w:val="24"/>
    </w:rPr>
  </w:style>
  <w:style w:type="paragraph" w:customStyle="1" w:styleId="xl72">
    <w:name w:val="xl72"/>
    <w:basedOn w:val="Normale"/>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73">
    <w:name w:val="xl73"/>
    <w:basedOn w:val="Normale"/>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74">
    <w:name w:val="xl74"/>
    <w:basedOn w:val="Normal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5">
    <w:name w:val="xl75"/>
    <w:basedOn w:val="Normale"/>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6">
    <w:name w:val="xl76"/>
    <w:basedOn w:val="Normale"/>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7">
    <w:name w:val="xl77"/>
    <w:basedOn w:val="Normale"/>
    <w:pPr>
      <w:pBdr>
        <w:top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78">
    <w:name w:val="xl78"/>
    <w:basedOn w:val="Normale"/>
    <w:pPr>
      <w:pBdr>
        <w:top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79">
    <w:name w:val="xl79"/>
    <w:basedOn w:val="Normale"/>
    <w:pPr>
      <w:pBdr>
        <w:top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80">
    <w:name w:val="xl80"/>
    <w:basedOn w:val="Normale"/>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81">
    <w:name w:val="xl81"/>
    <w:basedOn w:val="Normale"/>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82">
    <w:name w:val="xl82"/>
    <w:basedOn w:val="Normale"/>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83">
    <w:name w:val="xl83"/>
    <w:basedOn w:val="Normale"/>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84">
    <w:name w:val="xl84"/>
    <w:basedOn w:val="Normale"/>
    <w:pPr>
      <w:pBdr>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85">
    <w:name w:val="xl85"/>
    <w:basedOn w:val="Normale"/>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86">
    <w:name w:val="xl86"/>
    <w:basedOn w:val="Normale"/>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87">
    <w:name w:val="xl87"/>
    <w:basedOn w:val="Normale"/>
    <w:pPr>
      <w:pBdr>
        <w:top w:val="single" w:sz="4" w:space="0" w:color="auto"/>
        <w:lef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88">
    <w:name w:val="xl88"/>
    <w:basedOn w:val="Normale"/>
    <w:pPr>
      <w:pBdr>
        <w:lef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89">
    <w:name w:val="xl89"/>
    <w:basedOn w:val="Normale"/>
    <w:pPr>
      <w:pBdr>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90">
    <w:name w:val="xl90"/>
    <w:basedOn w:val="Normale"/>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91">
    <w:name w:val="xl91"/>
    <w:basedOn w:val="Normale"/>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92">
    <w:name w:val="xl92"/>
    <w:basedOn w:val="Normal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93">
    <w:name w:val="xl93"/>
    <w:basedOn w:val="Normale"/>
    <w:pPr>
      <w:pBdr>
        <w:top w:val="single" w:sz="4" w:space="0" w:color="auto"/>
        <w:lef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94">
    <w:name w:val="xl94"/>
    <w:basedOn w:val="Normale"/>
    <w:pPr>
      <w:pBdr>
        <w:lef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95">
    <w:name w:val="xl95"/>
    <w:basedOn w:val="Normale"/>
    <w:pPr>
      <w:pBdr>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96">
    <w:name w:val="xl96"/>
    <w:basedOn w:val="Normal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97">
    <w:name w:val="xl97"/>
    <w:basedOn w:val="Normale"/>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98">
    <w:name w:val="xl98"/>
    <w:basedOn w:val="Normale"/>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99">
    <w:name w:val="xl99"/>
    <w:basedOn w:val="Normale"/>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24"/>
      <w:szCs w:val="24"/>
    </w:rPr>
  </w:style>
  <w:style w:type="paragraph" w:customStyle="1" w:styleId="xl100">
    <w:name w:val="xl100"/>
    <w:basedOn w:val="Normale"/>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24"/>
      <w:szCs w:val="24"/>
    </w:rPr>
  </w:style>
  <w:style w:type="paragraph" w:customStyle="1" w:styleId="xl101">
    <w:name w:val="xl101"/>
    <w:basedOn w:val="Normal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102">
    <w:name w:val="xl102"/>
    <w:basedOn w:val="Normal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103">
    <w:name w:val="xl103"/>
    <w:basedOn w:val="Normale"/>
    <w:pPr>
      <w:pBdr>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104">
    <w:name w:val="xl104"/>
    <w:basedOn w:val="Normale"/>
    <w:pPr>
      <w:pBdr>
        <w:left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105">
    <w:name w:val="xl105"/>
    <w:basedOn w:val="Normale"/>
    <w:pPr>
      <w:spacing w:before="100" w:beforeAutospacing="1" w:after="100" w:afterAutospacing="1"/>
      <w:textAlignment w:val="center"/>
    </w:pPr>
    <w:rPr>
      <w:rFonts w:ascii="Arial" w:eastAsia="Arial Unicode MS" w:hAnsi="Arial" w:cs="Arial"/>
      <w:sz w:val="24"/>
      <w:szCs w:val="24"/>
    </w:rPr>
  </w:style>
  <w:style w:type="paragraph" w:customStyle="1" w:styleId="xl106">
    <w:name w:val="xl106"/>
    <w:basedOn w:val="Normale"/>
    <w:pPr>
      <w:spacing w:before="100" w:beforeAutospacing="1" w:after="100" w:afterAutospacing="1"/>
      <w:jc w:val="center"/>
      <w:textAlignment w:val="center"/>
    </w:pPr>
    <w:rPr>
      <w:rFonts w:ascii="Arial" w:eastAsia="Arial Unicode MS" w:hAnsi="Arial" w:cs="Arial"/>
      <w:sz w:val="24"/>
      <w:szCs w:val="24"/>
    </w:rPr>
  </w:style>
  <w:style w:type="paragraph" w:customStyle="1" w:styleId="xl107">
    <w:name w:val="xl107"/>
    <w:basedOn w:val="Normale"/>
    <w:pPr>
      <w:spacing w:before="100" w:beforeAutospacing="1" w:after="100" w:afterAutospacing="1"/>
      <w:jc w:val="center"/>
    </w:pPr>
    <w:rPr>
      <w:rFonts w:ascii="Arial" w:eastAsia="Arial Unicode MS" w:hAnsi="Arial" w:cs="Arial"/>
      <w:sz w:val="24"/>
      <w:szCs w:val="24"/>
    </w:rPr>
  </w:style>
  <w:style w:type="paragraph" w:customStyle="1" w:styleId="xl108">
    <w:name w:val="xl108"/>
    <w:basedOn w:val="Normale"/>
    <w:pPr>
      <w:spacing w:before="100" w:beforeAutospacing="1" w:after="100" w:afterAutospacing="1"/>
      <w:jc w:val="center"/>
    </w:pPr>
    <w:rPr>
      <w:rFonts w:ascii="Arial" w:eastAsia="Arial Unicode MS" w:hAnsi="Arial" w:cs="Arial"/>
      <w:sz w:val="24"/>
      <w:szCs w:val="24"/>
    </w:rPr>
  </w:style>
  <w:style w:type="paragraph" w:customStyle="1" w:styleId="xl109">
    <w:name w:val="xl109"/>
    <w:basedOn w:val="Normale"/>
    <w:pPr>
      <w:spacing w:before="100" w:beforeAutospacing="1" w:after="100" w:afterAutospacing="1"/>
      <w:jc w:val="right"/>
    </w:pPr>
    <w:rPr>
      <w:rFonts w:ascii="Arial" w:eastAsia="Arial Unicode MS" w:hAnsi="Arial" w:cs="Arial"/>
      <w:sz w:val="24"/>
      <w:szCs w:val="24"/>
    </w:rPr>
  </w:style>
  <w:style w:type="paragraph" w:customStyle="1" w:styleId="xl110">
    <w:name w:val="xl110"/>
    <w:basedOn w:val="Normale"/>
    <w:pPr>
      <w:spacing w:before="100" w:beforeAutospacing="1" w:after="100" w:afterAutospacing="1"/>
      <w:jc w:val="right"/>
    </w:pPr>
    <w:rPr>
      <w:rFonts w:ascii="Arial" w:eastAsia="Arial Unicode MS" w:hAnsi="Arial" w:cs="Arial"/>
      <w:sz w:val="24"/>
      <w:szCs w:val="24"/>
    </w:rPr>
  </w:style>
  <w:style w:type="paragraph" w:customStyle="1" w:styleId="xl111">
    <w:name w:val="xl111"/>
    <w:basedOn w:val="Normale"/>
    <w:pPr>
      <w:spacing w:before="100" w:beforeAutospacing="1" w:after="100" w:afterAutospacing="1"/>
    </w:pPr>
    <w:rPr>
      <w:rFonts w:ascii="Arial" w:eastAsia="Arial Unicode MS" w:hAnsi="Arial" w:cs="Arial"/>
      <w:sz w:val="24"/>
      <w:szCs w:val="24"/>
    </w:rPr>
  </w:style>
  <w:style w:type="paragraph" w:customStyle="1" w:styleId="xl112">
    <w:name w:val="xl112"/>
    <w:basedOn w:val="Normale"/>
    <w:pPr>
      <w:spacing w:before="100" w:beforeAutospacing="1" w:after="100" w:afterAutospacing="1"/>
    </w:pPr>
    <w:rPr>
      <w:rFonts w:ascii="Arial" w:eastAsia="Arial Unicode MS" w:hAnsi="Arial" w:cs="Arial"/>
      <w:sz w:val="24"/>
      <w:szCs w:val="24"/>
    </w:rPr>
  </w:style>
  <w:style w:type="paragraph" w:customStyle="1" w:styleId="xl113">
    <w:name w:val="xl113"/>
    <w:basedOn w:val="Normal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114">
    <w:name w:val="xl114"/>
    <w:basedOn w:val="Normal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115">
    <w:name w:val="xl115"/>
    <w:basedOn w:val="Normale"/>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i/>
      <w:iCs/>
      <w:sz w:val="24"/>
      <w:szCs w:val="24"/>
    </w:rPr>
  </w:style>
  <w:style w:type="paragraph" w:customStyle="1" w:styleId="xl116">
    <w:name w:val="xl116"/>
    <w:basedOn w:val="Normale"/>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i/>
      <w:iCs/>
      <w:sz w:val="24"/>
      <w:szCs w:val="24"/>
    </w:rPr>
  </w:style>
  <w:style w:type="paragraph" w:customStyle="1" w:styleId="xl117">
    <w:name w:val="xl117"/>
    <w:basedOn w:val="Normale"/>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i/>
      <w:iCs/>
      <w:sz w:val="24"/>
      <w:szCs w:val="24"/>
    </w:rPr>
  </w:style>
  <w:style w:type="paragraph" w:customStyle="1" w:styleId="StileTitolo212pt">
    <w:name w:val="Stile Titolo 2 + 12 pt"/>
    <w:basedOn w:val="Titolo2"/>
    <w:autoRedefine/>
    <w:rPr>
      <w:rFonts w:ascii="Century Gothic" w:hAnsi="Century Gothic"/>
      <w:i/>
      <w:iCs/>
      <w:szCs w:val="28"/>
    </w:rPr>
  </w:style>
  <w:style w:type="character" w:customStyle="1" w:styleId="StileRimandonotaapidipaginaTahoma">
    <w:name w:val="Stile Rimando nota a piè di pagina + Tahoma"/>
    <w:rPr>
      <w:rFonts w:ascii="Tahoma" w:hAnsi="Tahoma"/>
      <w:sz w:val="20"/>
      <w:vertAlign w:val="superscript"/>
    </w:rPr>
  </w:style>
  <w:style w:type="table" w:styleId="Grigliatabella">
    <w:name w:val="Table Grid"/>
    <w:basedOn w:val="Tabellanormal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atteredellanota">
    <w:name w:val="Carattere della nota"/>
    <w:rPr>
      <w:vertAlign w:val="superscript"/>
    </w:rPr>
  </w:style>
  <w:style w:type="paragraph" w:customStyle="1" w:styleId="nota">
    <w:name w:val="nota"/>
    <w:basedOn w:val="Normale"/>
    <w:autoRedefine/>
    <w:pPr>
      <w:numPr>
        <w:numId w:val="11"/>
      </w:numPr>
      <w:spacing w:after="120"/>
      <w:jc w:val="both"/>
    </w:pPr>
    <w:rPr>
      <w:rFonts w:ascii="Tahoma" w:hAnsi="Tahoma" w:cs="Tahoma"/>
      <w:vertAlign w:val="superscript"/>
      <w:lang w:eastAsia="ar-SA"/>
    </w:rPr>
  </w:style>
  <w:style w:type="character" w:customStyle="1" w:styleId="Titolo1Carattere">
    <w:name w:val="Titolo 1 Carattere"/>
    <w:aliases w:val="Titolo 1 Carattere2 Carattere,Titolo 1 Carattere1 Carattere Carattere,Titolo 1 Carattere Carattere Carattere Carattere,Titolo 1 Carattere2 Carattere Carattere Carattere Carattere,Titolo 1 Carattere Carattere1 Carattere"/>
    <w:link w:val="Titolo1"/>
    <w:rsid w:val="00A93677"/>
    <w:rPr>
      <w:rFonts w:ascii="Arial" w:hAnsi="Arial" w:cs="Arial"/>
      <w:b/>
      <w:bCs/>
      <w:smallCaps/>
      <w:noProof/>
      <w:color w:val="000080"/>
      <w:sz w:val="24"/>
      <w:szCs w:val="24"/>
    </w:rPr>
  </w:style>
  <w:style w:type="paragraph" w:customStyle="1" w:styleId="StileTitolo2Tahoma">
    <w:name w:val="Stile Titolo 2 + Tahoma"/>
    <w:basedOn w:val="Titolo2"/>
    <w:autoRedefine/>
    <w:pPr>
      <w:spacing w:after="60"/>
      <w:outlineLvl w:val="9"/>
    </w:pPr>
    <w:rPr>
      <w:b w:val="0"/>
      <w:i/>
      <w:iCs/>
    </w:rPr>
  </w:style>
  <w:style w:type="character" w:customStyle="1" w:styleId="Corpodeltesto2Carattere">
    <w:name w:val="Corpo del testo 2 Carattere"/>
    <w:aliases w:val=" Carattere Carattere"/>
    <w:link w:val="Corpodeltesto2"/>
    <w:rPr>
      <w:b/>
      <w:sz w:val="24"/>
      <w:lang w:val="it-IT" w:eastAsia="it-IT" w:bidi="ar-SA"/>
    </w:rPr>
  </w:style>
  <w:style w:type="character" w:customStyle="1" w:styleId="WW-Caratteredellanota">
    <w:name w:val="WW-Carattere della nota"/>
    <w:rPr>
      <w:vertAlign w:val="superscript"/>
    </w:rPr>
  </w:style>
  <w:style w:type="character" w:styleId="Enfasigrassetto">
    <w:name w:val="Strong"/>
    <w:uiPriority w:val="22"/>
    <w:qFormat/>
    <w:rPr>
      <w:b/>
      <w:bCs/>
    </w:rPr>
  </w:style>
  <w:style w:type="character" w:styleId="Enfasicorsivo">
    <w:name w:val="Emphasis"/>
    <w:uiPriority w:val="20"/>
    <w:qFormat/>
    <w:rPr>
      <w:i/>
      <w:iCs/>
    </w:rPr>
  </w:style>
  <w:style w:type="character" w:customStyle="1" w:styleId="WW-Caratteredellanota1">
    <w:name w:val="WW-Carattere della nota1"/>
    <w:rPr>
      <w:vertAlign w:val="superscript"/>
    </w:rPr>
  </w:style>
  <w:style w:type="paragraph" w:customStyle="1" w:styleId="Default">
    <w:name w:val="Default"/>
    <w:pPr>
      <w:autoSpaceDE w:val="0"/>
      <w:autoSpaceDN w:val="0"/>
      <w:adjustRightInd w:val="0"/>
    </w:pPr>
    <w:rPr>
      <w:rFonts w:ascii="Arial" w:hAnsi="Arial" w:cs="Arial"/>
      <w:color w:val="000000"/>
      <w:sz w:val="24"/>
      <w:szCs w:val="24"/>
    </w:rPr>
  </w:style>
  <w:style w:type="paragraph" w:customStyle="1" w:styleId="default0">
    <w:name w:val="default"/>
    <w:basedOn w:val="Normale"/>
    <w:pPr>
      <w:autoSpaceDE w:val="0"/>
      <w:autoSpaceDN w:val="0"/>
    </w:pPr>
    <w:rPr>
      <w:rFonts w:ascii="Arial" w:hAnsi="Arial" w:cs="Arial"/>
      <w:color w:val="000000"/>
      <w:sz w:val="24"/>
      <w:szCs w:val="24"/>
    </w:rPr>
  </w:style>
  <w:style w:type="character" w:customStyle="1" w:styleId="Titolo2Carattere1">
    <w:name w:val="Titolo 2 Carattere1"/>
    <w:aliases w:val="Titolo 2 Carattere Carattere,Titolo 4 + corsivo Carattere Carattere1,Titolo 4 + corsivo Carattere1"/>
    <w:link w:val="Titolo2"/>
    <w:rsid w:val="006D6367"/>
    <w:rPr>
      <w:rFonts w:ascii="Arial" w:hAnsi="Arial" w:cs="Arial"/>
      <w:b/>
      <w:snapToGrid w:val="0"/>
      <w:color w:val="000080"/>
      <w:lang w:eastAsia="en-US"/>
    </w:rPr>
  </w:style>
  <w:style w:type="character" w:customStyle="1" w:styleId="Titolo1CarattereCarattereCarattereCarattereCarattereCarattere">
    <w:name w:val="Titolo 1 Carattere Carattere Carattere Carattere Carattere Carattere"/>
    <w:rPr>
      <w:rFonts w:ascii="Tahoma" w:hAnsi="Tahoma" w:cs="Tahoma"/>
      <w:b/>
      <w:bCs/>
      <w:caps/>
      <w:noProof/>
      <w:sz w:val="24"/>
      <w:szCs w:val="24"/>
      <w:lang w:val="it-IT" w:eastAsia="it-IT" w:bidi="ar-SA"/>
    </w:rPr>
  </w:style>
  <w:style w:type="character" w:customStyle="1" w:styleId="IntestazioneCarattere">
    <w:name w:val="Intestazione Carattere"/>
    <w:aliases w:val=" Carattere1 Carattere,Carattere1 Carattere1,Intestazione Carattere2 Carattere Carattere1,Intestazione Carattere Carattere1 Carattere Carattere1,Carattere1 Carattere Carattere Carattere Carattere1"/>
    <w:link w:val="Intestazione"/>
    <w:uiPriority w:val="99"/>
    <w:rPr>
      <w:lang w:val="it-IT" w:eastAsia="it-IT" w:bidi="ar-SA"/>
    </w:rPr>
  </w:style>
  <w:style w:type="character" w:customStyle="1" w:styleId="Titolo1Carattere1CarattereCarattereCarattereCarattereCarattere">
    <w:name w:val="Titolo 1 Carattere1 Carattere Carattere Carattere Carattere Carattere"/>
    <w:rPr>
      <w:rFonts w:ascii="Tahoma" w:hAnsi="Tahoma" w:cs="Tahoma"/>
      <w:b/>
      <w:bCs/>
      <w:caps/>
      <w:noProof/>
      <w:sz w:val="24"/>
      <w:szCs w:val="24"/>
      <w:lang w:val="it-IT" w:eastAsia="it-IT" w:bidi="ar-SA"/>
    </w:rPr>
  </w:style>
  <w:style w:type="character" w:customStyle="1" w:styleId="CorpotestoCarattere">
    <w:name w:val="Corpo testo Carattere"/>
    <w:aliases w:val="Corpo del testo Carattere1 Carattere2,Corpo del testo Carattere1 Carattere Carattere2"/>
    <w:link w:val="Corpotesto"/>
    <w:rPr>
      <w:snapToGrid w:val="0"/>
      <w:sz w:val="24"/>
      <w:lang w:val="it-IT" w:eastAsia="it-IT" w:bidi="ar-SA"/>
    </w:rPr>
  </w:style>
  <w:style w:type="character" w:customStyle="1" w:styleId="CarattereCarattere1">
    <w:name w:val="Carattere Carattere1"/>
    <w:rPr>
      <w:rFonts w:ascii="Times New Roman" w:eastAsia="Times New Roman" w:hAnsi="Times New Roman" w:cs="Times New Roman"/>
      <w:sz w:val="20"/>
      <w:szCs w:val="20"/>
      <w:lang w:eastAsia="it-IT"/>
    </w:rPr>
  </w:style>
  <w:style w:type="character" w:customStyle="1" w:styleId="HeaderChar">
    <w:name w:val="Header Char"/>
    <w:aliases w:val="Carattere1 Char,Intestazione Carattere2 Carattere Char,Intestazione Carattere Carattere1 Carattere Char,Carattere1 Carattere Carattere Carattere Char,Intestazione Carattere Carattere Carattere Carattere Char"/>
    <w:locked/>
    <w:rPr>
      <w:rFonts w:ascii="Times New Roman" w:hAnsi="Times New Roman" w:cs="Times New Roman"/>
      <w:sz w:val="20"/>
      <w:szCs w:val="20"/>
      <w:lang w:val="x-none" w:eastAsia="it-IT"/>
    </w:rPr>
  </w:style>
  <w:style w:type="character" w:customStyle="1" w:styleId="TestofumettoCarattere">
    <w:name w:val="Testo fumetto Carattere"/>
    <w:link w:val="Testofumetto"/>
    <w:semiHidden/>
    <w:locked/>
    <w:rPr>
      <w:rFonts w:ascii="Tahoma" w:hAnsi="Tahoma" w:cs="Tahoma"/>
      <w:sz w:val="16"/>
      <w:szCs w:val="16"/>
      <w:lang w:val="it-IT" w:eastAsia="it-IT" w:bidi="ar-SA"/>
    </w:rPr>
  </w:style>
  <w:style w:type="character" w:customStyle="1" w:styleId="TestonotaapidipaginaCarattere">
    <w:name w:val="Testo nota a piè di pagina Carattere"/>
    <w:aliases w:val=" Carattere4 Carattere,Carattere4 Carattere,Carattere Carattere,Testo nota a piè di pagina Carattere1 Carattere,Testo_note Carattere Carattere Carattere,rr_Testo nota a piè di pagina Carattere"/>
    <w:link w:val="Testonotaapidipagina"/>
    <w:uiPriority w:val="99"/>
    <w:locked/>
    <w:rPr>
      <w:lang w:val="it-IT" w:eastAsia="it-IT" w:bidi="ar-SA"/>
    </w:rPr>
  </w:style>
  <w:style w:type="character" w:customStyle="1" w:styleId="Carattere1Carattere">
    <w:name w:val="Carattere1 Carattere"/>
    <w:aliases w:val="Carattere1 Carattere Carattere,Intestazione Carattere2 Carattere Carattere,Intestazione Carattere Carattere1 Carattere Carattere,Carattere1 Carattere Carattere Carattere Carattere,Intestazione Carattere1"/>
    <w:rPr>
      <w:lang w:val="it-IT" w:eastAsia="it-IT" w:bidi="ar-SA"/>
    </w:rPr>
  </w:style>
  <w:style w:type="character" w:customStyle="1" w:styleId="Titolo4corsivoCarattereCarattere">
    <w:name w:val="Titolo 4 + corsivo Carattere Carattere"/>
    <w:rPr>
      <w:rFonts w:ascii="Tahoma" w:eastAsia="Times New Roman" w:hAnsi="Tahoma" w:cs="Times New Roman"/>
      <w:b/>
      <w:bCs/>
      <w:sz w:val="24"/>
      <w:lang w:eastAsia="it-IT"/>
    </w:rPr>
  </w:style>
  <w:style w:type="paragraph" w:styleId="Paragrafoelenco">
    <w:name w:val="List Paragraph"/>
    <w:basedOn w:val="Normale"/>
    <w:uiPriority w:val="34"/>
    <w:qFormat/>
    <w:pPr>
      <w:ind w:left="720"/>
      <w:contextualSpacing/>
    </w:pPr>
  </w:style>
  <w:style w:type="character" w:customStyle="1" w:styleId="TestonotadichiusuraCarattere">
    <w:name w:val="Testo nota di chiusura Carattere"/>
    <w:link w:val="Testonotadichiusura"/>
    <w:semiHidden/>
    <w:rPr>
      <w:lang w:val="it-IT" w:eastAsia="it-IT" w:bidi="ar-SA"/>
    </w:rPr>
  </w:style>
  <w:style w:type="character" w:styleId="Rimandonotadichiusura">
    <w:name w:val="endnote reference"/>
    <w:semiHidden/>
    <w:unhideWhenUsed/>
    <w:rPr>
      <w:vertAlign w:val="superscript"/>
    </w:rPr>
  </w:style>
  <w:style w:type="character" w:customStyle="1" w:styleId="CorpodeltestoCarattere1Carattere1">
    <w:name w:val="Corpo del testo Carattere1 Carattere1"/>
    <w:aliases w:val="Corpo del testo Carattere1 Carattere Carattere Carattere"/>
    <w:rPr>
      <w:snapToGrid w:val="0"/>
      <w:sz w:val="24"/>
      <w:lang w:val="it-IT" w:eastAsia="it-IT" w:bidi="ar-SA"/>
    </w:rPr>
  </w:style>
  <w:style w:type="character" w:customStyle="1" w:styleId="Intestazione4">
    <w:name w:val="Intestazione #4_"/>
    <w:link w:val="Intestazione41"/>
    <w:locked/>
    <w:rPr>
      <w:rFonts w:ascii="Arial Black" w:hAnsi="Arial Black"/>
      <w:lang w:bidi="ar-SA"/>
    </w:rPr>
  </w:style>
  <w:style w:type="character" w:customStyle="1" w:styleId="Intestazione40">
    <w:name w:val="Intestazione #4"/>
    <w:basedOn w:val="Intestazione4"/>
    <w:rPr>
      <w:rFonts w:ascii="Arial Black" w:hAnsi="Arial Black"/>
      <w:lang w:bidi="ar-SA"/>
    </w:rPr>
  </w:style>
  <w:style w:type="paragraph" w:customStyle="1" w:styleId="Intestazione41">
    <w:name w:val="Intestazione #41"/>
    <w:basedOn w:val="Normale"/>
    <w:link w:val="Intestazione4"/>
    <w:pPr>
      <w:shd w:val="clear" w:color="auto" w:fill="FFFFFF"/>
      <w:spacing w:before="240" w:after="240" w:line="240" w:lineRule="atLeast"/>
      <w:jc w:val="both"/>
      <w:outlineLvl w:val="3"/>
    </w:pPr>
    <w:rPr>
      <w:rFonts w:ascii="Arial Black" w:hAnsi="Arial Black"/>
    </w:rPr>
  </w:style>
  <w:style w:type="character" w:customStyle="1" w:styleId="Intestazione33">
    <w:name w:val="Intestazione #33"/>
    <w:rPr>
      <w:rFonts w:ascii="Franklin Gothic Book" w:hAnsi="Franklin Gothic Book" w:cs="Franklin Gothic Book"/>
      <w:sz w:val="23"/>
      <w:szCs w:val="23"/>
      <w:lang w:bidi="ar-SA"/>
    </w:rPr>
  </w:style>
  <w:style w:type="character" w:customStyle="1" w:styleId="Titolo3Carattere1">
    <w:name w:val="Titolo 3 Carattere1"/>
    <w:aliases w:val="Titolo 3 Carattere Carattere"/>
    <w:link w:val="Titolo3"/>
    <w:rsid w:val="00FD2F19"/>
    <w:rPr>
      <w:rFonts w:ascii="Arial" w:hAnsi="Arial" w:cs="Arial"/>
      <w:b/>
      <w:noProof/>
      <w:color w:val="000080"/>
      <w:sz w:val="22"/>
      <w:szCs w:val="22"/>
    </w:rPr>
  </w:style>
  <w:style w:type="character" w:customStyle="1" w:styleId="BocognaniR">
    <w:name w:val="BocognaniR"/>
    <w:semiHidden/>
    <w:rPr>
      <w:rFonts w:ascii="Calibri" w:hAnsi="Calibri"/>
      <w:b w:val="0"/>
      <w:bCs w:val="0"/>
      <w:i w:val="0"/>
      <w:iCs w:val="0"/>
      <w:strike w:val="0"/>
      <w:color w:val="000080"/>
      <w:sz w:val="24"/>
      <w:szCs w:val="24"/>
      <w:u w:val="none"/>
    </w:rPr>
  </w:style>
  <w:style w:type="character" w:customStyle="1" w:styleId="FootnoteTextChar">
    <w:name w:val="Footnote Text Char"/>
    <w:semiHidden/>
    <w:locked/>
    <w:rPr>
      <w:lang w:val="it-IT" w:eastAsia="it-IT" w:bidi="ar-SA"/>
    </w:rPr>
  </w:style>
  <w:style w:type="character" w:customStyle="1" w:styleId="CorpodeltestoCarattere1CarattereCarattere">
    <w:name w:val="Corpo del testo Carattere1 Carattere Carattere"/>
    <w:rPr>
      <w:snapToGrid w:val="0"/>
      <w:sz w:val="24"/>
      <w:lang w:val="it-IT" w:eastAsia="it-IT" w:bidi="ar-SA"/>
    </w:rPr>
  </w:style>
  <w:style w:type="paragraph" w:customStyle="1" w:styleId="Paragrafoelenco1">
    <w:name w:val="Paragrafo elenco1"/>
    <w:basedOn w:val="Normale"/>
    <w:rsid w:val="00902864"/>
    <w:pPr>
      <w:ind w:left="720"/>
      <w:contextualSpacing/>
    </w:pPr>
    <w:rPr>
      <w:rFonts w:ascii="Calibri" w:hAnsi="Calibri"/>
      <w:sz w:val="22"/>
      <w:szCs w:val="22"/>
      <w:lang w:eastAsia="en-US"/>
    </w:rPr>
  </w:style>
  <w:style w:type="paragraph" w:customStyle="1" w:styleId="Titre1">
    <w:name w:val="Titre 1"/>
    <w:basedOn w:val="Normale"/>
    <w:rsid w:val="00C0762F"/>
    <w:rPr>
      <w:rFonts w:ascii="Tahoma" w:hAnsi="Tahoma" w:cs="Tahoma"/>
      <w:b/>
      <w:sz w:val="24"/>
      <w:szCs w:val="24"/>
    </w:rPr>
  </w:style>
  <w:style w:type="character" w:customStyle="1" w:styleId="txt">
    <w:name w:val="txt"/>
    <w:rsid w:val="00E208B3"/>
  </w:style>
  <w:style w:type="character" w:customStyle="1" w:styleId="txt-tecnoborsa">
    <w:name w:val="txt-tecnoborsa"/>
    <w:rsid w:val="00E208B3"/>
  </w:style>
  <w:style w:type="character" w:customStyle="1" w:styleId="TestonormaleCarattere">
    <w:name w:val="Testo normale Carattere"/>
    <w:link w:val="Testonormale"/>
    <w:uiPriority w:val="99"/>
    <w:rsid w:val="003C78A3"/>
    <w:rPr>
      <w:sz w:val="24"/>
    </w:rPr>
  </w:style>
  <w:style w:type="paragraph" w:customStyle="1" w:styleId="Titolo20">
    <w:name w:val="Titolo2"/>
    <w:basedOn w:val="Titolo2"/>
    <w:qFormat/>
    <w:rsid w:val="007C22E2"/>
    <w:pPr>
      <w:spacing w:after="60"/>
    </w:pPr>
    <w:rPr>
      <w:rFonts w:cs="Times New Roman"/>
      <w:bCs/>
      <w:i/>
      <w:iCs/>
      <w:szCs w:val="28"/>
      <w:lang w:eastAsia="it-IT"/>
    </w:rPr>
  </w:style>
  <w:style w:type="paragraph" w:customStyle="1" w:styleId="Titolo10">
    <w:name w:val="Titolo1"/>
    <w:basedOn w:val="Titolo1"/>
    <w:link w:val="Titolo1Carattere0"/>
    <w:qFormat/>
    <w:rsid w:val="00BC59D8"/>
    <w:pPr>
      <w:spacing w:before="120"/>
    </w:pPr>
  </w:style>
  <w:style w:type="character" w:customStyle="1" w:styleId="Titolo1Carattere0">
    <w:name w:val="Titolo1 Carattere"/>
    <w:link w:val="Titolo10"/>
    <w:rsid w:val="00BC59D8"/>
    <w:rPr>
      <w:rFonts w:ascii="Arial" w:hAnsi="Arial" w:cs="Arial"/>
      <w:b/>
      <w:bCs/>
      <w:noProof/>
      <w:sz w:val="24"/>
      <w:szCs w:val="24"/>
    </w:rPr>
  </w:style>
  <w:style w:type="paragraph" w:customStyle="1" w:styleId="Stiletestocorrente">
    <w:name w:val="Stile testo corrente"/>
    <w:basedOn w:val="Normale"/>
    <w:qFormat/>
    <w:rsid w:val="00B85373"/>
    <w:pPr>
      <w:spacing w:line="240" w:lineRule="exact"/>
      <w:ind w:left="1588"/>
      <w:contextualSpacing/>
      <w:jc w:val="both"/>
    </w:pPr>
    <w:rPr>
      <w:rFonts w:ascii="Arial" w:eastAsia="Cambria" w:hAnsi="Arial"/>
      <w:szCs w:val="24"/>
      <w:lang w:eastAsia="en-US"/>
    </w:rPr>
  </w:style>
  <w:style w:type="paragraph" w:customStyle="1" w:styleId="Body1">
    <w:name w:val="Body 1"/>
    <w:rsid w:val="00B64059"/>
    <w:rPr>
      <w:rFonts w:ascii="Helvetica" w:eastAsia="Arial Unicode MS" w:hAnsi="Helvetica"/>
      <w:color w:val="000000"/>
      <w:sz w:val="24"/>
    </w:rPr>
  </w:style>
  <w:style w:type="paragraph" w:styleId="Nessunaspaziatura">
    <w:name w:val="No Spacing"/>
    <w:link w:val="NessunaspaziaturaCarattere"/>
    <w:uiPriority w:val="1"/>
    <w:qFormat/>
    <w:rsid w:val="00F44EF1"/>
    <w:rPr>
      <w:rFonts w:asciiTheme="minorHAnsi" w:eastAsiaTheme="minorEastAsia" w:hAnsiTheme="minorHAnsi" w:cstheme="minorBidi"/>
      <w:sz w:val="22"/>
      <w:szCs w:val="22"/>
    </w:rPr>
  </w:style>
  <w:style w:type="character" w:customStyle="1" w:styleId="NessunaspaziaturaCarattere">
    <w:name w:val="Nessuna spaziatura Carattere"/>
    <w:basedOn w:val="Carpredefinitoparagrafo"/>
    <w:link w:val="Nessunaspaziatura"/>
    <w:uiPriority w:val="1"/>
    <w:rsid w:val="00F44EF1"/>
    <w:rPr>
      <w:rFonts w:asciiTheme="minorHAnsi" w:eastAsiaTheme="minorEastAsia" w:hAnsiTheme="minorHAnsi" w:cstheme="minorBidi"/>
      <w:sz w:val="22"/>
      <w:szCs w:val="22"/>
    </w:rPr>
  </w:style>
  <w:style w:type="paragraph" w:customStyle="1" w:styleId="BodyBullet">
    <w:name w:val="Body Bullet"/>
    <w:rsid w:val="008D33E1"/>
    <w:rPr>
      <w:rFonts w:ascii="Helvetica" w:eastAsia="Arial Unicode MS" w:hAnsi="Helvetica"/>
      <w:color w:val="000000"/>
      <w:sz w:val="24"/>
    </w:rPr>
  </w:style>
  <w:style w:type="table" w:customStyle="1" w:styleId="Grigliatabella1">
    <w:name w:val="Griglia tabella1"/>
    <w:basedOn w:val="Tabellanormale"/>
    <w:next w:val="Grigliatabella"/>
    <w:uiPriority w:val="59"/>
    <w:rsid w:val="00A947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eformattatoHTMLCarattere">
    <w:name w:val="Preformattato HTML Carattere"/>
    <w:basedOn w:val="Carpredefinitoparagrafo"/>
    <w:link w:val="PreformattatoHTML"/>
    <w:uiPriority w:val="99"/>
    <w:rsid w:val="00AA3D58"/>
    <w:rPr>
      <w:rFonts w:ascii="Courier New" w:hAnsi="Courier New" w:cs="Courier New"/>
    </w:rPr>
  </w:style>
  <w:style w:type="paragraph" w:styleId="Titolosommario">
    <w:name w:val="TOC Heading"/>
    <w:basedOn w:val="Titolo1"/>
    <w:next w:val="Normale"/>
    <w:uiPriority w:val="39"/>
    <w:unhideWhenUsed/>
    <w:qFormat/>
    <w:rsid w:val="00025FFD"/>
    <w:pPr>
      <w:keepNext/>
      <w:keepLines/>
      <w:suppressAutoHyphens w:val="0"/>
      <w:spacing w:before="480" w:after="0" w:line="276" w:lineRule="auto"/>
      <w:ind w:right="0"/>
      <w:outlineLvl w:val="9"/>
    </w:pPr>
    <w:rPr>
      <w:rFonts w:asciiTheme="majorHAnsi" w:eastAsiaTheme="majorEastAsia" w:hAnsiTheme="majorHAnsi" w:cstheme="majorBidi"/>
      <w:noProof w:val="0"/>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3550">
      <w:bodyDiv w:val="1"/>
      <w:marLeft w:val="0"/>
      <w:marRight w:val="0"/>
      <w:marTop w:val="0"/>
      <w:marBottom w:val="0"/>
      <w:divBdr>
        <w:top w:val="none" w:sz="0" w:space="0" w:color="auto"/>
        <w:left w:val="none" w:sz="0" w:space="0" w:color="auto"/>
        <w:bottom w:val="none" w:sz="0" w:space="0" w:color="auto"/>
        <w:right w:val="none" w:sz="0" w:space="0" w:color="auto"/>
      </w:divBdr>
    </w:div>
    <w:div w:id="22706449">
      <w:bodyDiv w:val="1"/>
      <w:marLeft w:val="0"/>
      <w:marRight w:val="0"/>
      <w:marTop w:val="0"/>
      <w:marBottom w:val="0"/>
      <w:divBdr>
        <w:top w:val="none" w:sz="0" w:space="0" w:color="auto"/>
        <w:left w:val="none" w:sz="0" w:space="0" w:color="auto"/>
        <w:bottom w:val="none" w:sz="0" w:space="0" w:color="auto"/>
        <w:right w:val="none" w:sz="0" w:space="0" w:color="auto"/>
      </w:divBdr>
    </w:div>
    <w:div w:id="75711851">
      <w:bodyDiv w:val="1"/>
      <w:marLeft w:val="0"/>
      <w:marRight w:val="0"/>
      <w:marTop w:val="0"/>
      <w:marBottom w:val="0"/>
      <w:divBdr>
        <w:top w:val="none" w:sz="0" w:space="0" w:color="auto"/>
        <w:left w:val="none" w:sz="0" w:space="0" w:color="auto"/>
        <w:bottom w:val="none" w:sz="0" w:space="0" w:color="auto"/>
        <w:right w:val="none" w:sz="0" w:space="0" w:color="auto"/>
      </w:divBdr>
    </w:div>
    <w:div w:id="96754097">
      <w:bodyDiv w:val="1"/>
      <w:marLeft w:val="0"/>
      <w:marRight w:val="0"/>
      <w:marTop w:val="0"/>
      <w:marBottom w:val="0"/>
      <w:divBdr>
        <w:top w:val="none" w:sz="0" w:space="0" w:color="auto"/>
        <w:left w:val="none" w:sz="0" w:space="0" w:color="auto"/>
        <w:bottom w:val="none" w:sz="0" w:space="0" w:color="auto"/>
        <w:right w:val="none" w:sz="0" w:space="0" w:color="auto"/>
      </w:divBdr>
    </w:div>
    <w:div w:id="98452482">
      <w:bodyDiv w:val="1"/>
      <w:marLeft w:val="0"/>
      <w:marRight w:val="0"/>
      <w:marTop w:val="0"/>
      <w:marBottom w:val="0"/>
      <w:divBdr>
        <w:top w:val="none" w:sz="0" w:space="0" w:color="auto"/>
        <w:left w:val="none" w:sz="0" w:space="0" w:color="auto"/>
        <w:bottom w:val="none" w:sz="0" w:space="0" w:color="auto"/>
        <w:right w:val="none" w:sz="0" w:space="0" w:color="auto"/>
      </w:divBdr>
    </w:div>
    <w:div w:id="165287028">
      <w:bodyDiv w:val="1"/>
      <w:marLeft w:val="0"/>
      <w:marRight w:val="0"/>
      <w:marTop w:val="0"/>
      <w:marBottom w:val="0"/>
      <w:divBdr>
        <w:top w:val="none" w:sz="0" w:space="0" w:color="auto"/>
        <w:left w:val="none" w:sz="0" w:space="0" w:color="auto"/>
        <w:bottom w:val="none" w:sz="0" w:space="0" w:color="auto"/>
        <w:right w:val="none" w:sz="0" w:space="0" w:color="auto"/>
      </w:divBdr>
    </w:div>
    <w:div w:id="173692433">
      <w:bodyDiv w:val="1"/>
      <w:marLeft w:val="0"/>
      <w:marRight w:val="0"/>
      <w:marTop w:val="0"/>
      <w:marBottom w:val="0"/>
      <w:divBdr>
        <w:top w:val="none" w:sz="0" w:space="0" w:color="auto"/>
        <w:left w:val="none" w:sz="0" w:space="0" w:color="auto"/>
        <w:bottom w:val="none" w:sz="0" w:space="0" w:color="auto"/>
        <w:right w:val="none" w:sz="0" w:space="0" w:color="auto"/>
      </w:divBdr>
    </w:div>
    <w:div w:id="209153650">
      <w:bodyDiv w:val="1"/>
      <w:marLeft w:val="0"/>
      <w:marRight w:val="0"/>
      <w:marTop w:val="0"/>
      <w:marBottom w:val="0"/>
      <w:divBdr>
        <w:top w:val="none" w:sz="0" w:space="0" w:color="auto"/>
        <w:left w:val="none" w:sz="0" w:space="0" w:color="auto"/>
        <w:bottom w:val="none" w:sz="0" w:space="0" w:color="auto"/>
        <w:right w:val="none" w:sz="0" w:space="0" w:color="auto"/>
      </w:divBdr>
    </w:div>
    <w:div w:id="224488408">
      <w:bodyDiv w:val="1"/>
      <w:marLeft w:val="0"/>
      <w:marRight w:val="0"/>
      <w:marTop w:val="0"/>
      <w:marBottom w:val="0"/>
      <w:divBdr>
        <w:top w:val="none" w:sz="0" w:space="0" w:color="auto"/>
        <w:left w:val="none" w:sz="0" w:space="0" w:color="auto"/>
        <w:bottom w:val="none" w:sz="0" w:space="0" w:color="auto"/>
        <w:right w:val="none" w:sz="0" w:space="0" w:color="auto"/>
      </w:divBdr>
    </w:div>
    <w:div w:id="226039783">
      <w:bodyDiv w:val="1"/>
      <w:marLeft w:val="0"/>
      <w:marRight w:val="0"/>
      <w:marTop w:val="0"/>
      <w:marBottom w:val="0"/>
      <w:divBdr>
        <w:top w:val="none" w:sz="0" w:space="0" w:color="auto"/>
        <w:left w:val="none" w:sz="0" w:space="0" w:color="auto"/>
        <w:bottom w:val="none" w:sz="0" w:space="0" w:color="auto"/>
        <w:right w:val="none" w:sz="0" w:space="0" w:color="auto"/>
      </w:divBdr>
    </w:div>
    <w:div w:id="281882305">
      <w:bodyDiv w:val="1"/>
      <w:marLeft w:val="0"/>
      <w:marRight w:val="0"/>
      <w:marTop w:val="0"/>
      <w:marBottom w:val="0"/>
      <w:divBdr>
        <w:top w:val="none" w:sz="0" w:space="0" w:color="auto"/>
        <w:left w:val="none" w:sz="0" w:space="0" w:color="auto"/>
        <w:bottom w:val="none" w:sz="0" w:space="0" w:color="auto"/>
        <w:right w:val="none" w:sz="0" w:space="0" w:color="auto"/>
      </w:divBdr>
    </w:div>
    <w:div w:id="303238699">
      <w:bodyDiv w:val="1"/>
      <w:marLeft w:val="0"/>
      <w:marRight w:val="0"/>
      <w:marTop w:val="0"/>
      <w:marBottom w:val="0"/>
      <w:divBdr>
        <w:top w:val="none" w:sz="0" w:space="0" w:color="auto"/>
        <w:left w:val="none" w:sz="0" w:space="0" w:color="auto"/>
        <w:bottom w:val="none" w:sz="0" w:space="0" w:color="auto"/>
        <w:right w:val="none" w:sz="0" w:space="0" w:color="auto"/>
      </w:divBdr>
    </w:div>
    <w:div w:id="317925506">
      <w:bodyDiv w:val="1"/>
      <w:marLeft w:val="0"/>
      <w:marRight w:val="0"/>
      <w:marTop w:val="0"/>
      <w:marBottom w:val="0"/>
      <w:divBdr>
        <w:top w:val="none" w:sz="0" w:space="0" w:color="auto"/>
        <w:left w:val="none" w:sz="0" w:space="0" w:color="auto"/>
        <w:bottom w:val="none" w:sz="0" w:space="0" w:color="auto"/>
        <w:right w:val="none" w:sz="0" w:space="0" w:color="auto"/>
      </w:divBdr>
    </w:div>
    <w:div w:id="318122353">
      <w:bodyDiv w:val="1"/>
      <w:marLeft w:val="0"/>
      <w:marRight w:val="0"/>
      <w:marTop w:val="0"/>
      <w:marBottom w:val="0"/>
      <w:divBdr>
        <w:top w:val="none" w:sz="0" w:space="0" w:color="auto"/>
        <w:left w:val="none" w:sz="0" w:space="0" w:color="auto"/>
        <w:bottom w:val="none" w:sz="0" w:space="0" w:color="auto"/>
        <w:right w:val="none" w:sz="0" w:space="0" w:color="auto"/>
      </w:divBdr>
    </w:div>
    <w:div w:id="318920643">
      <w:bodyDiv w:val="1"/>
      <w:marLeft w:val="0"/>
      <w:marRight w:val="0"/>
      <w:marTop w:val="0"/>
      <w:marBottom w:val="0"/>
      <w:divBdr>
        <w:top w:val="none" w:sz="0" w:space="0" w:color="auto"/>
        <w:left w:val="none" w:sz="0" w:space="0" w:color="auto"/>
        <w:bottom w:val="none" w:sz="0" w:space="0" w:color="auto"/>
        <w:right w:val="none" w:sz="0" w:space="0" w:color="auto"/>
      </w:divBdr>
    </w:div>
    <w:div w:id="347949798">
      <w:bodyDiv w:val="1"/>
      <w:marLeft w:val="0"/>
      <w:marRight w:val="0"/>
      <w:marTop w:val="0"/>
      <w:marBottom w:val="0"/>
      <w:divBdr>
        <w:top w:val="none" w:sz="0" w:space="0" w:color="auto"/>
        <w:left w:val="none" w:sz="0" w:space="0" w:color="auto"/>
        <w:bottom w:val="none" w:sz="0" w:space="0" w:color="auto"/>
        <w:right w:val="none" w:sz="0" w:space="0" w:color="auto"/>
      </w:divBdr>
    </w:div>
    <w:div w:id="407459705">
      <w:bodyDiv w:val="1"/>
      <w:marLeft w:val="0"/>
      <w:marRight w:val="0"/>
      <w:marTop w:val="0"/>
      <w:marBottom w:val="0"/>
      <w:divBdr>
        <w:top w:val="none" w:sz="0" w:space="0" w:color="auto"/>
        <w:left w:val="none" w:sz="0" w:space="0" w:color="auto"/>
        <w:bottom w:val="none" w:sz="0" w:space="0" w:color="auto"/>
        <w:right w:val="none" w:sz="0" w:space="0" w:color="auto"/>
      </w:divBdr>
    </w:div>
    <w:div w:id="415053523">
      <w:bodyDiv w:val="1"/>
      <w:marLeft w:val="0"/>
      <w:marRight w:val="0"/>
      <w:marTop w:val="0"/>
      <w:marBottom w:val="0"/>
      <w:divBdr>
        <w:top w:val="none" w:sz="0" w:space="0" w:color="auto"/>
        <w:left w:val="none" w:sz="0" w:space="0" w:color="auto"/>
        <w:bottom w:val="none" w:sz="0" w:space="0" w:color="auto"/>
        <w:right w:val="none" w:sz="0" w:space="0" w:color="auto"/>
      </w:divBdr>
    </w:div>
    <w:div w:id="476799627">
      <w:bodyDiv w:val="1"/>
      <w:marLeft w:val="0"/>
      <w:marRight w:val="0"/>
      <w:marTop w:val="0"/>
      <w:marBottom w:val="0"/>
      <w:divBdr>
        <w:top w:val="none" w:sz="0" w:space="0" w:color="auto"/>
        <w:left w:val="none" w:sz="0" w:space="0" w:color="auto"/>
        <w:bottom w:val="none" w:sz="0" w:space="0" w:color="auto"/>
        <w:right w:val="none" w:sz="0" w:space="0" w:color="auto"/>
      </w:divBdr>
    </w:div>
    <w:div w:id="495613827">
      <w:bodyDiv w:val="1"/>
      <w:marLeft w:val="0"/>
      <w:marRight w:val="0"/>
      <w:marTop w:val="0"/>
      <w:marBottom w:val="0"/>
      <w:divBdr>
        <w:top w:val="none" w:sz="0" w:space="0" w:color="auto"/>
        <w:left w:val="none" w:sz="0" w:space="0" w:color="auto"/>
        <w:bottom w:val="none" w:sz="0" w:space="0" w:color="auto"/>
        <w:right w:val="none" w:sz="0" w:space="0" w:color="auto"/>
      </w:divBdr>
    </w:div>
    <w:div w:id="523059210">
      <w:bodyDiv w:val="1"/>
      <w:marLeft w:val="0"/>
      <w:marRight w:val="0"/>
      <w:marTop w:val="0"/>
      <w:marBottom w:val="0"/>
      <w:divBdr>
        <w:top w:val="none" w:sz="0" w:space="0" w:color="auto"/>
        <w:left w:val="none" w:sz="0" w:space="0" w:color="auto"/>
        <w:bottom w:val="none" w:sz="0" w:space="0" w:color="auto"/>
        <w:right w:val="none" w:sz="0" w:space="0" w:color="auto"/>
      </w:divBdr>
    </w:div>
    <w:div w:id="531111607">
      <w:bodyDiv w:val="1"/>
      <w:marLeft w:val="0"/>
      <w:marRight w:val="0"/>
      <w:marTop w:val="0"/>
      <w:marBottom w:val="0"/>
      <w:divBdr>
        <w:top w:val="none" w:sz="0" w:space="0" w:color="auto"/>
        <w:left w:val="none" w:sz="0" w:space="0" w:color="auto"/>
        <w:bottom w:val="none" w:sz="0" w:space="0" w:color="auto"/>
        <w:right w:val="none" w:sz="0" w:space="0" w:color="auto"/>
      </w:divBdr>
    </w:div>
    <w:div w:id="572668613">
      <w:bodyDiv w:val="1"/>
      <w:marLeft w:val="0"/>
      <w:marRight w:val="0"/>
      <w:marTop w:val="0"/>
      <w:marBottom w:val="0"/>
      <w:divBdr>
        <w:top w:val="none" w:sz="0" w:space="0" w:color="auto"/>
        <w:left w:val="none" w:sz="0" w:space="0" w:color="auto"/>
        <w:bottom w:val="none" w:sz="0" w:space="0" w:color="auto"/>
        <w:right w:val="none" w:sz="0" w:space="0" w:color="auto"/>
      </w:divBdr>
    </w:div>
    <w:div w:id="574095487">
      <w:bodyDiv w:val="1"/>
      <w:marLeft w:val="0"/>
      <w:marRight w:val="0"/>
      <w:marTop w:val="0"/>
      <w:marBottom w:val="0"/>
      <w:divBdr>
        <w:top w:val="none" w:sz="0" w:space="0" w:color="auto"/>
        <w:left w:val="none" w:sz="0" w:space="0" w:color="auto"/>
        <w:bottom w:val="none" w:sz="0" w:space="0" w:color="auto"/>
        <w:right w:val="none" w:sz="0" w:space="0" w:color="auto"/>
      </w:divBdr>
    </w:div>
    <w:div w:id="595942561">
      <w:bodyDiv w:val="1"/>
      <w:marLeft w:val="0"/>
      <w:marRight w:val="0"/>
      <w:marTop w:val="0"/>
      <w:marBottom w:val="0"/>
      <w:divBdr>
        <w:top w:val="none" w:sz="0" w:space="0" w:color="auto"/>
        <w:left w:val="none" w:sz="0" w:space="0" w:color="auto"/>
        <w:bottom w:val="none" w:sz="0" w:space="0" w:color="auto"/>
        <w:right w:val="none" w:sz="0" w:space="0" w:color="auto"/>
      </w:divBdr>
    </w:div>
    <w:div w:id="645739753">
      <w:bodyDiv w:val="1"/>
      <w:marLeft w:val="0"/>
      <w:marRight w:val="0"/>
      <w:marTop w:val="0"/>
      <w:marBottom w:val="0"/>
      <w:divBdr>
        <w:top w:val="none" w:sz="0" w:space="0" w:color="auto"/>
        <w:left w:val="none" w:sz="0" w:space="0" w:color="auto"/>
        <w:bottom w:val="none" w:sz="0" w:space="0" w:color="auto"/>
        <w:right w:val="none" w:sz="0" w:space="0" w:color="auto"/>
      </w:divBdr>
      <w:divsChild>
        <w:div w:id="78405836">
          <w:marLeft w:val="0"/>
          <w:marRight w:val="0"/>
          <w:marTop w:val="0"/>
          <w:marBottom w:val="0"/>
          <w:divBdr>
            <w:top w:val="none" w:sz="0" w:space="0" w:color="auto"/>
            <w:left w:val="none" w:sz="0" w:space="0" w:color="auto"/>
            <w:bottom w:val="none" w:sz="0" w:space="0" w:color="auto"/>
            <w:right w:val="none" w:sz="0" w:space="0" w:color="auto"/>
          </w:divBdr>
        </w:div>
      </w:divsChild>
    </w:div>
    <w:div w:id="681976449">
      <w:bodyDiv w:val="1"/>
      <w:marLeft w:val="0"/>
      <w:marRight w:val="0"/>
      <w:marTop w:val="0"/>
      <w:marBottom w:val="0"/>
      <w:divBdr>
        <w:top w:val="none" w:sz="0" w:space="0" w:color="auto"/>
        <w:left w:val="none" w:sz="0" w:space="0" w:color="auto"/>
        <w:bottom w:val="none" w:sz="0" w:space="0" w:color="auto"/>
        <w:right w:val="none" w:sz="0" w:space="0" w:color="auto"/>
      </w:divBdr>
    </w:div>
    <w:div w:id="704064969">
      <w:bodyDiv w:val="1"/>
      <w:marLeft w:val="0"/>
      <w:marRight w:val="0"/>
      <w:marTop w:val="0"/>
      <w:marBottom w:val="0"/>
      <w:divBdr>
        <w:top w:val="none" w:sz="0" w:space="0" w:color="auto"/>
        <w:left w:val="none" w:sz="0" w:space="0" w:color="auto"/>
        <w:bottom w:val="none" w:sz="0" w:space="0" w:color="auto"/>
        <w:right w:val="none" w:sz="0" w:space="0" w:color="auto"/>
      </w:divBdr>
    </w:div>
    <w:div w:id="712340105">
      <w:bodyDiv w:val="1"/>
      <w:marLeft w:val="0"/>
      <w:marRight w:val="0"/>
      <w:marTop w:val="0"/>
      <w:marBottom w:val="0"/>
      <w:divBdr>
        <w:top w:val="none" w:sz="0" w:space="0" w:color="auto"/>
        <w:left w:val="none" w:sz="0" w:space="0" w:color="auto"/>
        <w:bottom w:val="none" w:sz="0" w:space="0" w:color="auto"/>
        <w:right w:val="none" w:sz="0" w:space="0" w:color="auto"/>
      </w:divBdr>
    </w:div>
    <w:div w:id="765883634">
      <w:bodyDiv w:val="1"/>
      <w:marLeft w:val="0"/>
      <w:marRight w:val="0"/>
      <w:marTop w:val="0"/>
      <w:marBottom w:val="0"/>
      <w:divBdr>
        <w:top w:val="none" w:sz="0" w:space="0" w:color="auto"/>
        <w:left w:val="none" w:sz="0" w:space="0" w:color="auto"/>
        <w:bottom w:val="none" w:sz="0" w:space="0" w:color="auto"/>
        <w:right w:val="none" w:sz="0" w:space="0" w:color="auto"/>
      </w:divBdr>
    </w:div>
    <w:div w:id="771514478">
      <w:bodyDiv w:val="1"/>
      <w:marLeft w:val="0"/>
      <w:marRight w:val="0"/>
      <w:marTop w:val="0"/>
      <w:marBottom w:val="0"/>
      <w:divBdr>
        <w:top w:val="none" w:sz="0" w:space="0" w:color="auto"/>
        <w:left w:val="none" w:sz="0" w:space="0" w:color="auto"/>
        <w:bottom w:val="none" w:sz="0" w:space="0" w:color="auto"/>
        <w:right w:val="none" w:sz="0" w:space="0" w:color="auto"/>
      </w:divBdr>
    </w:div>
    <w:div w:id="777680992">
      <w:bodyDiv w:val="1"/>
      <w:marLeft w:val="0"/>
      <w:marRight w:val="0"/>
      <w:marTop w:val="0"/>
      <w:marBottom w:val="0"/>
      <w:divBdr>
        <w:top w:val="none" w:sz="0" w:space="0" w:color="auto"/>
        <w:left w:val="none" w:sz="0" w:space="0" w:color="auto"/>
        <w:bottom w:val="none" w:sz="0" w:space="0" w:color="auto"/>
        <w:right w:val="none" w:sz="0" w:space="0" w:color="auto"/>
      </w:divBdr>
    </w:div>
    <w:div w:id="807939402">
      <w:bodyDiv w:val="1"/>
      <w:marLeft w:val="0"/>
      <w:marRight w:val="0"/>
      <w:marTop w:val="0"/>
      <w:marBottom w:val="0"/>
      <w:divBdr>
        <w:top w:val="none" w:sz="0" w:space="0" w:color="auto"/>
        <w:left w:val="none" w:sz="0" w:space="0" w:color="auto"/>
        <w:bottom w:val="none" w:sz="0" w:space="0" w:color="auto"/>
        <w:right w:val="none" w:sz="0" w:space="0" w:color="auto"/>
      </w:divBdr>
    </w:div>
    <w:div w:id="807939656">
      <w:bodyDiv w:val="1"/>
      <w:marLeft w:val="0"/>
      <w:marRight w:val="0"/>
      <w:marTop w:val="0"/>
      <w:marBottom w:val="0"/>
      <w:divBdr>
        <w:top w:val="none" w:sz="0" w:space="0" w:color="auto"/>
        <w:left w:val="none" w:sz="0" w:space="0" w:color="auto"/>
        <w:bottom w:val="none" w:sz="0" w:space="0" w:color="auto"/>
        <w:right w:val="none" w:sz="0" w:space="0" w:color="auto"/>
      </w:divBdr>
    </w:div>
    <w:div w:id="813595791">
      <w:bodyDiv w:val="1"/>
      <w:marLeft w:val="0"/>
      <w:marRight w:val="0"/>
      <w:marTop w:val="0"/>
      <w:marBottom w:val="0"/>
      <w:divBdr>
        <w:top w:val="none" w:sz="0" w:space="0" w:color="auto"/>
        <w:left w:val="none" w:sz="0" w:space="0" w:color="auto"/>
        <w:bottom w:val="none" w:sz="0" w:space="0" w:color="auto"/>
        <w:right w:val="none" w:sz="0" w:space="0" w:color="auto"/>
      </w:divBdr>
    </w:div>
    <w:div w:id="816651177">
      <w:bodyDiv w:val="1"/>
      <w:marLeft w:val="0"/>
      <w:marRight w:val="0"/>
      <w:marTop w:val="0"/>
      <w:marBottom w:val="0"/>
      <w:divBdr>
        <w:top w:val="none" w:sz="0" w:space="0" w:color="auto"/>
        <w:left w:val="none" w:sz="0" w:space="0" w:color="auto"/>
        <w:bottom w:val="none" w:sz="0" w:space="0" w:color="auto"/>
        <w:right w:val="none" w:sz="0" w:space="0" w:color="auto"/>
      </w:divBdr>
    </w:div>
    <w:div w:id="840319374">
      <w:bodyDiv w:val="1"/>
      <w:marLeft w:val="0"/>
      <w:marRight w:val="0"/>
      <w:marTop w:val="0"/>
      <w:marBottom w:val="0"/>
      <w:divBdr>
        <w:top w:val="none" w:sz="0" w:space="0" w:color="auto"/>
        <w:left w:val="none" w:sz="0" w:space="0" w:color="auto"/>
        <w:bottom w:val="none" w:sz="0" w:space="0" w:color="auto"/>
        <w:right w:val="none" w:sz="0" w:space="0" w:color="auto"/>
      </w:divBdr>
    </w:div>
    <w:div w:id="848178209">
      <w:bodyDiv w:val="1"/>
      <w:marLeft w:val="0"/>
      <w:marRight w:val="0"/>
      <w:marTop w:val="0"/>
      <w:marBottom w:val="0"/>
      <w:divBdr>
        <w:top w:val="none" w:sz="0" w:space="0" w:color="auto"/>
        <w:left w:val="none" w:sz="0" w:space="0" w:color="auto"/>
        <w:bottom w:val="none" w:sz="0" w:space="0" w:color="auto"/>
        <w:right w:val="none" w:sz="0" w:space="0" w:color="auto"/>
      </w:divBdr>
    </w:div>
    <w:div w:id="862132914">
      <w:bodyDiv w:val="1"/>
      <w:marLeft w:val="0"/>
      <w:marRight w:val="0"/>
      <w:marTop w:val="0"/>
      <w:marBottom w:val="0"/>
      <w:divBdr>
        <w:top w:val="none" w:sz="0" w:space="0" w:color="auto"/>
        <w:left w:val="none" w:sz="0" w:space="0" w:color="auto"/>
        <w:bottom w:val="none" w:sz="0" w:space="0" w:color="auto"/>
        <w:right w:val="none" w:sz="0" w:space="0" w:color="auto"/>
      </w:divBdr>
    </w:div>
    <w:div w:id="869759384">
      <w:bodyDiv w:val="1"/>
      <w:marLeft w:val="0"/>
      <w:marRight w:val="0"/>
      <w:marTop w:val="0"/>
      <w:marBottom w:val="0"/>
      <w:divBdr>
        <w:top w:val="none" w:sz="0" w:space="0" w:color="auto"/>
        <w:left w:val="none" w:sz="0" w:space="0" w:color="auto"/>
        <w:bottom w:val="none" w:sz="0" w:space="0" w:color="auto"/>
        <w:right w:val="none" w:sz="0" w:space="0" w:color="auto"/>
      </w:divBdr>
    </w:div>
    <w:div w:id="873738946">
      <w:bodyDiv w:val="1"/>
      <w:marLeft w:val="0"/>
      <w:marRight w:val="0"/>
      <w:marTop w:val="0"/>
      <w:marBottom w:val="0"/>
      <w:divBdr>
        <w:top w:val="none" w:sz="0" w:space="0" w:color="auto"/>
        <w:left w:val="none" w:sz="0" w:space="0" w:color="auto"/>
        <w:bottom w:val="none" w:sz="0" w:space="0" w:color="auto"/>
        <w:right w:val="none" w:sz="0" w:space="0" w:color="auto"/>
      </w:divBdr>
    </w:div>
    <w:div w:id="879433867">
      <w:bodyDiv w:val="1"/>
      <w:marLeft w:val="0"/>
      <w:marRight w:val="0"/>
      <w:marTop w:val="0"/>
      <w:marBottom w:val="0"/>
      <w:divBdr>
        <w:top w:val="none" w:sz="0" w:space="0" w:color="auto"/>
        <w:left w:val="none" w:sz="0" w:space="0" w:color="auto"/>
        <w:bottom w:val="none" w:sz="0" w:space="0" w:color="auto"/>
        <w:right w:val="none" w:sz="0" w:space="0" w:color="auto"/>
      </w:divBdr>
    </w:div>
    <w:div w:id="884413347">
      <w:bodyDiv w:val="1"/>
      <w:marLeft w:val="0"/>
      <w:marRight w:val="0"/>
      <w:marTop w:val="0"/>
      <w:marBottom w:val="0"/>
      <w:divBdr>
        <w:top w:val="none" w:sz="0" w:space="0" w:color="auto"/>
        <w:left w:val="none" w:sz="0" w:space="0" w:color="auto"/>
        <w:bottom w:val="none" w:sz="0" w:space="0" w:color="auto"/>
        <w:right w:val="none" w:sz="0" w:space="0" w:color="auto"/>
      </w:divBdr>
    </w:div>
    <w:div w:id="888372047">
      <w:bodyDiv w:val="1"/>
      <w:marLeft w:val="0"/>
      <w:marRight w:val="0"/>
      <w:marTop w:val="0"/>
      <w:marBottom w:val="0"/>
      <w:divBdr>
        <w:top w:val="none" w:sz="0" w:space="0" w:color="auto"/>
        <w:left w:val="none" w:sz="0" w:space="0" w:color="auto"/>
        <w:bottom w:val="none" w:sz="0" w:space="0" w:color="auto"/>
        <w:right w:val="none" w:sz="0" w:space="0" w:color="auto"/>
      </w:divBdr>
    </w:div>
    <w:div w:id="889808287">
      <w:bodyDiv w:val="1"/>
      <w:marLeft w:val="0"/>
      <w:marRight w:val="0"/>
      <w:marTop w:val="0"/>
      <w:marBottom w:val="0"/>
      <w:divBdr>
        <w:top w:val="none" w:sz="0" w:space="0" w:color="auto"/>
        <w:left w:val="none" w:sz="0" w:space="0" w:color="auto"/>
        <w:bottom w:val="none" w:sz="0" w:space="0" w:color="auto"/>
        <w:right w:val="none" w:sz="0" w:space="0" w:color="auto"/>
      </w:divBdr>
    </w:div>
    <w:div w:id="908543575">
      <w:bodyDiv w:val="1"/>
      <w:marLeft w:val="0"/>
      <w:marRight w:val="0"/>
      <w:marTop w:val="0"/>
      <w:marBottom w:val="0"/>
      <w:divBdr>
        <w:top w:val="none" w:sz="0" w:space="0" w:color="auto"/>
        <w:left w:val="none" w:sz="0" w:space="0" w:color="auto"/>
        <w:bottom w:val="none" w:sz="0" w:space="0" w:color="auto"/>
        <w:right w:val="none" w:sz="0" w:space="0" w:color="auto"/>
      </w:divBdr>
    </w:div>
    <w:div w:id="957027603">
      <w:bodyDiv w:val="1"/>
      <w:marLeft w:val="0"/>
      <w:marRight w:val="0"/>
      <w:marTop w:val="0"/>
      <w:marBottom w:val="0"/>
      <w:divBdr>
        <w:top w:val="none" w:sz="0" w:space="0" w:color="auto"/>
        <w:left w:val="none" w:sz="0" w:space="0" w:color="auto"/>
        <w:bottom w:val="none" w:sz="0" w:space="0" w:color="auto"/>
        <w:right w:val="none" w:sz="0" w:space="0" w:color="auto"/>
      </w:divBdr>
    </w:div>
    <w:div w:id="967206833">
      <w:bodyDiv w:val="1"/>
      <w:marLeft w:val="0"/>
      <w:marRight w:val="0"/>
      <w:marTop w:val="0"/>
      <w:marBottom w:val="0"/>
      <w:divBdr>
        <w:top w:val="none" w:sz="0" w:space="0" w:color="auto"/>
        <w:left w:val="none" w:sz="0" w:space="0" w:color="auto"/>
        <w:bottom w:val="none" w:sz="0" w:space="0" w:color="auto"/>
        <w:right w:val="none" w:sz="0" w:space="0" w:color="auto"/>
      </w:divBdr>
    </w:div>
    <w:div w:id="979309091">
      <w:bodyDiv w:val="1"/>
      <w:marLeft w:val="0"/>
      <w:marRight w:val="0"/>
      <w:marTop w:val="0"/>
      <w:marBottom w:val="0"/>
      <w:divBdr>
        <w:top w:val="none" w:sz="0" w:space="0" w:color="auto"/>
        <w:left w:val="none" w:sz="0" w:space="0" w:color="auto"/>
        <w:bottom w:val="none" w:sz="0" w:space="0" w:color="auto"/>
        <w:right w:val="none" w:sz="0" w:space="0" w:color="auto"/>
      </w:divBdr>
    </w:div>
    <w:div w:id="1010180960">
      <w:bodyDiv w:val="1"/>
      <w:marLeft w:val="0"/>
      <w:marRight w:val="0"/>
      <w:marTop w:val="0"/>
      <w:marBottom w:val="0"/>
      <w:divBdr>
        <w:top w:val="none" w:sz="0" w:space="0" w:color="auto"/>
        <w:left w:val="none" w:sz="0" w:space="0" w:color="auto"/>
        <w:bottom w:val="none" w:sz="0" w:space="0" w:color="auto"/>
        <w:right w:val="none" w:sz="0" w:space="0" w:color="auto"/>
      </w:divBdr>
    </w:div>
    <w:div w:id="1045449147">
      <w:bodyDiv w:val="1"/>
      <w:marLeft w:val="0"/>
      <w:marRight w:val="0"/>
      <w:marTop w:val="0"/>
      <w:marBottom w:val="0"/>
      <w:divBdr>
        <w:top w:val="none" w:sz="0" w:space="0" w:color="auto"/>
        <w:left w:val="none" w:sz="0" w:space="0" w:color="auto"/>
        <w:bottom w:val="none" w:sz="0" w:space="0" w:color="auto"/>
        <w:right w:val="none" w:sz="0" w:space="0" w:color="auto"/>
      </w:divBdr>
    </w:div>
    <w:div w:id="1110929401">
      <w:bodyDiv w:val="1"/>
      <w:marLeft w:val="0"/>
      <w:marRight w:val="0"/>
      <w:marTop w:val="0"/>
      <w:marBottom w:val="0"/>
      <w:divBdr>
        <w:top w:val="none" w:sz="0" w:space="0" w:color="auto"/>
        <w:left w:val="none" w:sz="0" w:space="0" w:color="auto"/>
        <w:bottom w:val="none" w:sz="0" w:space="0" w:color="auto"/>
        <w:right w:val="none" w:sz="0" w:space="0" w:color="auto"/>
      </w:divBdr>
    </w:div>
    <w:div w:id="1121221078">
      <w:bodyDiv w:val="1"/>
      <w:marLeft w:val="0"/>
      <w:marRight w:val="0"/>
      <w:marTop w:val="0"/>
      <w:marBottom w:val="0"/>
      <w:divBdr>
        <w:top w:val="none" w:sz="0" w:space="0" w:color="auto"/>
        <w:left w:val="none" w:sz="0" w:space="0" w:color="auto"/>
        <w:bottom w:val="none" w:sz="0" w:space="0" w:color="auto"/>
        <w:right w:val="none" w:sz="0" w:space="0" w:color="auto"/>
      </w:divBdr>
    </w:div>
    <w:div w:id="1124155754">
      <w:bodyDiv w:val="1"/>
      <w:marLeft w:val="0"/>
      <w:marRight w:val="0"/>
      <w:marTop w:val="0"/>
      <w:marBottom w:val="0"/>
      <w:divBdr>
        <w:top w:val="none" w:sz="0" w:space="0" w:color="auto"/>
        <w:left w:val="none" w:sz="0" w:space="0" w:color="auto"/>
        <w:bottom w:val="none" w:sz="0" w:space="0" w:color="auto"/>
        <w:right w:val="none" w:sz="0" w:space="0" w:color="auto"/>
      </w:divBdr>
    </w:div>
    <w:div w:id="1127898271">
      <w:bodyDiv w:val="1"/>
      <w:marLeft w:val="0"/>
      <w:marRight w:val="0"/>
      <w:marTop w:val="0"/>
      <w:marBottom w:val="0"/>
      <w:divBdr>
        <w:top w:val="none" w:sz="0" w:space="0" w:color="auto"/>
        <w:left w:val="none" w:sz="0" w:space="0" w:color="auto"/>
        <w:bottom w:val="none" w:sz="0" w:space="0" w:color="auto"/>
        <w:right w:val="none" w:sz="0" w:space="0" w:color="auto"/>
      </w:divBdr>
    </w:div>
    <w:div w:id="1132021180">
      <w:bodyDiv w:val="1"/>
      <w:marLeft w:val="0"/>
      <w:marRight w:val="0"/>
      <w:marTop w:val="0"/>
      <w:marBottom w:val="0"/>
      <w:divBdr>
        <w:top w:val="none" w:sz="0" w:space="0" w:color="auto"/>
        <w:left w:val="none" w:sz="0" w:space="0" w:color="auto"/>
        <w:bottom w:val="none" w:sz="0" w:space="0" w:color="auto"/>
        <w:right w:val="none" w:sz="0" w:space="0" w:color="auto"/>
      </w:divBdr>
    </w:div>
    <w:div w:id="1132097419">
      <w:bodyDiv w:val="1"/>
      <w:marLeft w:val="0"/>
      <w:marRight w:val="0"/>
      <w:marTop w:val="0"/>
      <w:marBottom w:val="0"/>
      <w:divBdr>
        <w:top w:val="none" w:sz="0" w:space="0" w:color="auto"/>
        <w:left w:val="none" w:sz="0" w:space="0" w:color="auto"/>
        <w:bottom w:val="none" w:sz="0" w:space="0" w:color="auto"/>
        <w:right w:val="none" w:sz="0" w:space="0" w:color="auto"/>
      </w:divBdr>
    </w:div>
    <w:div w:id="1155220685">
      <w:bodyDiv w:val="1"/>
      <w:marLeft w:val="0"/>
      <w:marRight w:val="0"/>
      <w:marTop w:val="0"/>
      <w:marBottom w:val="0"/>
      <w:divBdr>
        <w:top w:val="none" w:sz="0" w:space="0" w:color="auto"/>
        <w:left w:val="none" w:sz="0" w:space="0" w:color="auto"/>
        <w:bottom w:val="none" w:sz="0" w:space="0" w:color="auto"/>
        <w:right w:val="none" w:sz="0" w:space="0" w:color="auto"/>
      </w:divBdr>
    </w:div>
    <w:div w:id="1187257455">
      <w:bodyDiv w:val="1"/>
      <w:marLeft w:val="0"/>
      <w:marRight w:val="0"/>
      <w:marTop w:val="0"/>
      <w:marBottom w:val="0"/>
      <w:divBdr>
        <w:top w:val="none" w:sz="0" w:space="0" w:color="auto"/>
        <w:left w:val="none" w:sz="0" w:space="0" w:color="auto"/>
        <w:bottom w:val="none" w:sz="0" w:space="0" w:color="auto"/>
        <w:right w:val="none" w:sz="0" w:space="0" w:color="auto"/>
      </w:divBdr>
    </w:div>
    <w:div w:id="1219049326">
      <w:bodyDiv w:val="1"/>
      <w:marLeft w:val="0"/>
      <w:marRight w:val="0"/>
      <w:marTop w:val="0"/>
      <w:marBottom w:val="0"/>
      <w:divBdr>
        <w:top w:val="none" w:sz="0" w:space="0" w:color="auto"/>
        <w:left w:val="none" w:sz="0" w:space="0" w:color="auto"/>
        <w:bottom w:val="none" w:sz="0" w:space="0" w:color="auto"/>
        <w:right w:val="none" w:sz="0" w:space="0" w:color="auto"/>
      </w:divBdr>
    </w:div>
    <w:div w:id="1284532500">
      <w:bodyDiv w:val="1"/>
      <w:marLeft w:val="0"/>
      <w:marRight w:val="0"/>
      <w:marTop w:val="0"/>
      <w:marBottom w:val="0"/>
      <w:divBdr>
        <w:top w:val="none" w:sz="0" w:space="0" w:color="auto"/>
        <w:left w:val="none" w:sz="0" w:space="0" w:color="auto"/>
        <w:bottom w:val="none" w:sz="0" w:space="0" w:color="auto"/>
        <w:right w:val="none" w:sz="0" w:space="0" w:color="auto"/>
      </w:divBdr>
    </w:div>
    <w:div w:id="1285041019">
      <w:bodyDiv w:val="1"/>
      <w:marLeft w:val="0"/>
      <w:marRight w:val="0"/>
      <w:marTop w:val="0"/>
      <w:marBottom w:val="0"/>
      <w:divBdr>
        <w:top w:val="none" w:sz="0" w:space="0" w:color="auto"/>
        <w:left w:val="none" w:sz="0" w:space="0" w:color="auto"/>
        <w:bottom w:val="none" w:sz="0" w:space="0" w:color="auto"/>
        <w:right w:val="none" w:sz="0" w:space="0" w:color="auto"/>
      </w:divBdr>
    </w:div>
    <w:div w:id="1353529181">
      <w:bodyDiv w:val="1"/>
      <w:marLeft w:val="0"/>
      <w:marRight w:val="0"/>
      <w:marTop w:val="0"/>
      <w:marBottom w:val="0"/>
      <w:divBdr>
        <w:top w:val="none" w:sz="0" w:space="0" w:color="auto"/>
        <w:left w:val="none" w:sz="0" w:space="0" w:color="auto"/>
        <w:bottom w:val="none" w:sz="0" w:space="0" w:color="auto"/>
        <w:right w:val="none" w:sz="0" w:space="0" w:color="auto"/>
      </w:divBdr>
    </w:div>
    <w:div w:id="1379360013">
      <w:bodyDiv w:val="1"/>
      <w:marLeft w:val="0"/>
      <w:marRight w:val="0"/>
      <w:marTop w:val="0"/>
      <w:marBottom w:val="0"/>
      <w:divBdr>
        <w:top w:val="none" w:sz="0" w:space="0" w:color="auto"/>
        <w:left w:val="none" w:sz="0" w:space="0" w:color="auto"/>
        <w:bottom w:val="none" w:sz="0" w:space="0" w:color="auto"/>
        <w:right w:val="none" w:sz="0" w:space="0" w:color="auto"/>
      </w:divBdr>
    </w:div>
    <w:div w:id="1411387122">
      <w:bodyDiv w:val="1"/>
      <w:marLeft w:val="0"/>
      <w:marRight w:val="0"/>
      <w:marTop w:val="0"/>
      <w:marBottom w:val="0"/>
      <w:divBdr>
        <w:top w:val="none" w:sz="0" w:space="0" w:color="auto"/>
        <w:left w:val="none" w:sz="0" w:space="0" w:color="auto"/>
        <w:bottom w:val="none" w:sz="0" w:space="0" w:color="auto"/>
        <w:right w:val="none" w:sz="0" w:space="0" w:color="auto"/>
      </w:divBdr>
    </w:div>
    <w:div w:id="1411660112">
      <w:bodyDiv w:val="1"/>
      <w:marLeft w:val="0"/>
      <w:marRight w:val="0"/>
      <w:marTop w:val="0"/>
      <w:marBottom w:val="0"/>
      <w:divBdr>
        <w:top w:val="none" w:sz="0" w:space="0" w:color="auto"/>
        <w:left w:val="none" w:sz="0" w:space="0" w:color="auto"/>
        <w:bottom w:val="none" w:sz="0" w:space="0" w:color="auto"/>
        <w:right w:val="none" w:sz="0" w:space="0" w:color="auto"/>
      </w:divBdr>
    </w:div>
    <w:div w:id="1467090003">
      <w:bodyDiv w:val="1"/>
      <w:marLeft w:val="0"/>
      <w:marRight w:val="0"/>
      <w:marTop w:val="0"/>
      <w:marBottom w:val="0"/>
      <w:divBdr>
        <w:top w:val="none" w:sz="0" w:space="0" w:color="auto"/>
        <w:left w:val="none" w:sz="0" w:space="0" w:color="auto"/>
        <w:bottom w:val="none" w:sz="0" w:space="0" w:color="auto"/>
        <w:right w:val="none" w:sz="0" w:space="0" w:color="auto"/>
      </w:divBdr>
    </w:div>
    <w:div w:id="1473906732">
      <w:bodyDiv w:val="1"/>
      <w:marLeft w:val="0"/>
      <w:marRight w:val="0"/>
      <w:marTop w:val="0"/>
      <w:marBottom w:val="0"/>
      <w:divBdr>
        <w:top w:val="none" w:sz="0" w:space="0" w:color="auto"/>
        <w:left w:val="none" w:sz="0" w:space="0" w:color="auto"/>
        <w:bottom w:val="none" w:sz="0" w:space="0" w:color="auto"/>
        <w:right w:val="none" w:sz="0" w:space="0" w:color="auto"/>
      </w:divBdr>
    </w:div>
    <w:div w:id="1487477353">
      <w:bodyDiv w:val="1"/>
      <w:marLeft w:val="0"/>
      <w:marRight w:val="0"/>
      <w:marTop w:val="0"/>
      <w:marBottom w:val="0"/>
      <w:divBdr>
        <w:top w:val="none" w:sz="0" w:space="0" w:color="auto"/>
        <w:left w:val="none" w:sz="0" w:space="0" w:color="auto"/>
        <w:bottom w:val="none" w:sz="0" w:space="0" w:color="auto"/>
        <w:right w:val="none" w:sz="0" w:space="0" w:color="auto"/>
      </w:divBdr>
    </w:div>
    <w:div w:id="1496802302">
      <w:bodyDiv w:val="1"/>
      <w:marLeft w:val="0"/>
      <w:marRight w:val="0"/>
      <w:marTop w:val="0"/>
      <w:marBottom w:val="0"/>
      <w:divBdr>
        <w:top w:val="none" w:sz="0" w:space="0" w:color="auto"/>
        <w:left w:val="none" w:sz="0" w:space="0" w:color="auto"/>
        <w:bottom w:val="none" w:sz="0" w:space="0" w:color="auto"/>
        <w:right w:val="none" w:sz="0" w:space="0" w:color="auto"/>
      </w:divBdr>
    </w:div>
    <w:div w:id="1517037473">
      <w:bodyDiv w:val="1"/>
      <w:marLeft w:val="0"/>
      <w:marRight w:val="0"/>
      <w:marTop w:val="0"/>
      <w:marBottom w:val="0"/>
      <w:divBdr>
        <w:top w:val="none" w:sz="0" w:space="0" w:color="auto"/>
        <w:left w:val="none" w:sz="0" w:space="0" w:color="auto"/>
        <w:bottom w:val="none" w:sz="0" w:space="0" w:color="auto"/>
        <w:right w:val="none" w:sz="0" w:space="0" w:color="auto"/>
      </w:divBdr>
    </w:div>
    <w:div w:id="1519738642">
      <w:bodyDiv w:val="1"/>
      <w:marLeft w:val="0"/>
      <w:marRight w:val="0"/>
      <w:marTop w:val="0"/>
      <w:marBottom w:val="0"/>
      <w:divBdr>
        <w:top w:val="none" w:sz="0" w:space="0" w:color="auto"/>
        <w:left w:val="none" w:sz="0" w:space="0" w:color="auto"/>
        <w:bottom w:val="none" w:sz="0" w:space="0" w:color="auto"/>
        <w:right w:val="none" w:sz="0" w:space="0" w:color="auto"/>
      </w:divBdr>
    </w:div>
    <w:div w:id="1536963182">
      <w:bodyDiv w:val="1"/>
      <w:marLeft w:val="0"/>
      <w:marRight w:val="0"/>
      <w:marTop w:val="0"/>
      <w:marBottom w:val="0"/>
      <w:divBdr>
        <w:top w:val="none" w:sz="0" w:space="0" w:color="auto"/>
        <w:left w:val="none" w:sz="0" w:space="0" w:color="auto"/>
        <w:bottom w:val="none" w:sz="0" w:space="0" w:color="auto"/>
        <w:right w:val="none" w:sz="0" w:space="0" w:color="auto"/>
      </w:divBdr>
    </w:div>
    <w:div w:id="1565674724">
      <w:bodyDiv w:val="1"/>
      <w:marLeft w:val="0"/>
      <w:marRight w:val="0"/>
      <w:marTop w:val="0"/>
      <w:marBottom w:val="0"/>
      <w:divBdr>
        <w:top w:val="none" w:sz="0" w:space="0" w:color="auto"/>
        <w:left w:val="none" w:sz="0" w:space="0" w:color="auto"/>
        <w:bottom w:val="none" w:sz="0" w:space="0" w:color="auto"/>
        <w:right w:val="none" w:sz="0" w:space="0" w:color="auto"/>
      </w:divBdr>
    </w:div>
    <w:div w:id="1576429610">
      <w:bodyDiv w:val="1"/>
      <w:marLeft w:val="0"/>
      <w:marRight w:val="0"/>
      <w:marTop w:val="0"/>
      <w:marBottom w:val="0"/>
      <w:divBdr>
        <w:top w:val="none" w:sz="0" w:space="0" w:color="auto"/>
        <w:left w:val="none" w:sz="0" w:space="0" w:color="auto"/>
        <w:bottom w:val="none" w:sz="0" w:space="0" w:color="auto"/>
        <w:right w:val="none" w:sz="0" w:space="0" w:color="auto"/>
      </w:divBdr>
    </w:div>
    <w:div w:id="1587810054">
      <w:bodyDiv w:val="1"/>
      <w:marLeft w:val="0"/>
      <w:marRight w:val="0"/>
      <w:marTop w:val="0"/>
      <w:marBottom w:val="0"/>
      <w:divBdr>
        <w:top w:val="none" w:sz="0" w:space="0" w:color="auto"/>
        <w:left w:val="none" w:sz="0" w:space="0" w:color="auto"/>
        <w:bottom w:val="none" w:sz="0" w:space="0" w:color="auto"/>
        <w:right w:val="none" w:sz="0" w:space="0" w:color="auto"/>
      </w:divBdr>
    </w:div>
    <w:div w:id="1623262748">
      <w:bodyDiv w:val="1"/>
      <w:marLeft w:val="0"/>
      <w:marRight w:val="0"/>
      <w:marTop w:val="0"/>
      <w:marBottom w:val="0"/>
      <w:divBdr>
        <w:top w:val="none" w:sz="0" w:space="0" w:color="auto"/>
        <w:left w:val="none" w:sz="0" w:space="0" w:color="auto"/>
        <w:bottom w:val="none" w:sz="0" w:space="0" w:color="auto"/>
        <w:right w:val="none" w:sz="0" w:space="0" w:color="auto"/>
      </w:divBdr>
    </w:div>
    <w:div w:id="1667511471">
      <w:bodyDiv w:val="1"/>
      <w:marLeft w:val="0"/>
      <w:marRight w:val="0"/>
      <w:marTop w:val="0"/>
      <w:marBottom w:val="0"/>
      <w:divBdr>
        <w:top w:val="none" w:sz="0" w:space="0" w:color="auto"/>
        <w:left w:val="none" w:sz="0" w:space="0" w:color="auto"/>
        <w:bottom w:val="none" w:sz="0" w:space="0" w:color="auto"/>
        <w:right w:val="none" w:sz="0" w:space="0" w:color="auto"/>
      </w:divBdr>
    </w:div>
    <w:div w:id="1751662068">
      <w:bodyDiv w:val="1"/>
      <w:marLeft w:val="0"/>
      <w:marRight w:val="0"/>
      <w:marTop w:val="0"/>
      <w:marBottom w:val="0"/>
      <w:divBdr>
        <w:top w:val="none" w:sz="0" w:space="0" w:color="auto"/>
        <w:left w:val="none" w:sz="0" w:space="0" w:color="auto"/>
        <w:bottom w:val="none" w:sz="0" w:space="0" w:color="auto"/>
        <w:right w:val="none" w:sz="0" w:space="0" w:color="auto"/>
      </w:divBdr>
    </w:div>
    <w:div w:id="1762985510">
      <w:bodyDiv w:val="1"/>
      <w:marLeft w:val="0"/>
      <w:marRight w:val="0"/>
      <w:marTop w:val="0"/>
      <w:marBottom w:val="0"/>
      <w:divBdr>
        <w:top w:val="none" w:sz="0" w:space="0" w:color="auto"/>
        <w:left w:val="none" w:sz="0" w:space="0" w:color="auto"/>
        <w:bottom w:val="none" w:sz="0" w:space="0" w:color="auto"/>
        <w:right w:val="none" w:sz="0" w:space="0" w:color="auto"/>
      </w:divBdr>
    </w:div>
    <w:div w:id="1824197472">
      <w:bodyDiv w:val="1"/>
      <w:marLeft w:val="0"/>
      <w:marRight w:val="0"/>
      <w:marTop w:val="0"/>
      <w:marBottom w:val="0"/>
      <w:divBdr>
        <w:top w:val="none" w:sz="0" w:space="0" w:color="auto"/>
        <w:left w:val="none" w:sz="0" w:space="0" w:color="auto"/>
        <w:bottom w:val="none" w:sz="0" w:space="0" w:color="auto"/>
        <w:right w:val="none" w:sz="0" w:space="0" w:color="auto"/>
      </w:divBdr>
    </w:div>
    <w:div w:id="1824809113">
      <w:bodyDiv w:val="1"/>
      <w:marLeft w:val="0"/>
      <w:marRight w:val="0"/>
      <w:marTop w:val="0"/>
      <w:marBottom w:val="0"/>
      <w:divBdr>
        <w:top w:val="none" w:sz="0" w:space="0" w:color="auto"/>
        <w:left w:val="none" w:sz="0" w:space="0" w:color="auto"/>
        <w:bottom w:val="none" w:sz="0" w:space="0" w:color="auto"/>
        <w:right w:val="none" w:sz="0" w:space="0" w:color="auto"/>
      </w:divBdr>
    </w:div>
    <w:div w:id="1840731447">
      <w:bodyDiv w:val="1"/>
      <w:marLeft w:val="0"/>
      <w:marRight w:val="0"/>
      <w:marTop w:val="0"/>
      <w:marBottom w:val="0"/>
      <w:divBdr>
        <w:top w:val="none" w:sz="0" w:space="0" w:color="auto"/>
        <w:left w:val="none" w:sz="0" w:space="0" w:color="auto"/>
        <w:bottom w:val="none" w:sz="0" w:space="0" w:color="auto"/>
        <w:right w:val="none" w:sz="0" w:space="0" w:color="auto"/>
      </w:divBdr>
    </w:div>
    <w:div w:id="1895119241">
      <w:bodyDiv w:val="1"/>
      <w:marLeft w:val="0"/>
      <w:marRight w:val="0"/>
      <w:marTop w:val="0"/>
      <w:marBottom w:val="0"/>
      <w:divBdr>
        <w:top w:val="none" w:sz="0" w:space="0" w:color="auto"/>
        <w:left w:val="none" w:sz="0" w:space="0" w:color="auto"/>
        <w:bottom w:val="none" w:sz="0" w:space="0" w:color="auto"/>
        <w:right w:val="none" w:sz="0" w:space="0" w:color="auto"/>
      </w:divBdr>
    </w:div>
    <w:div w:id="1898585515">
      <w:bodyDiv w:val="1"/>
      <w:marLeft w:val="0"/>
      <w:marRight w:val="0"/>
      <w:marTop w:val="0"/>
      <w:marBottom w:val="0"/>
      <w:divBdr>
        <w:top w:val="none" w:sz="0" w:space="0" w:color="auto"/>
        <w:left w:val="none" w:sz="0" w:space="0" w:color="auto"/>
        <w:bottom w:val="none" w:sz="0" w:space="0" w:color="auto"/>
        <w:right w:val="none" w:sz="0" w:space="0" w:color="auto"/>
      </w:divBdr>
    </w:div>
    <w:div w:id="1947930615">
      <w:bodyDiv w:val="1"/>
      <w:marLeft w:val="0"/>
      <w:marRight w:val="0"/>
      <w:marTop w:val="0"/>
      <w:marBottom w:val="0"/>
      <w:divBdr>
        <w:top w:val="none" w:sz="0" w:space="0" w:color="auto"/>
        <w:left w:val="none" w:sz="0" w:space="0" w:color="auto"/>
        <w:bottom w:val="none" w:sz="0" w:space="0" w:color="auto"/>
        <w:right w:val="none" w:sz="0" w:space="0" w:color="auto"/>
      </w:divBdr>
    </w:div>
    <w:div w:id="1978876869">
      <w:bodyDiv w:val="1"/>
      <w:marLeft w:val="0"/>
      <w:marRight w:val="0"/>
      <w:marTop w:val="0"/>
      <w:marBottom w:val="0"/>
      <w:divBdr>
        <w:top w:val="none" w:sz="0" w:space="0" w:color="auto"/>
        <w:left w:val="none" w:sz="0" w:space="0" w:color="auto"/>
        <w:bottom w:val="none" w:sz="0" w:space="0" w:color="auto"/>
        <w:right w:val="none" w:sz="0" w:space="0" w:color="auto"/>
      </w:divBdr>
    </w:div>
    <w:div w:id="1980264072">
      <w:bodyDiv w:val="1"/>
      <w:marLeft w:val="0"/>
      <w:marRight w:val="0"/>
      <w:marTop w:val="0"/>
      <w:marBottom w:val="0"/>
      <w:divBdr>
        <w:top w:val="none" w:sz="0" w:space="0" w:color="auto"/>
        <w:left w:val="none" w:sz="0" w:space="0" w:color="auto"/>
        <w:bottom w:val="none" w:sz="0" w:space="0" w:color="auto"/>
        <w:right w:val="none" w:sz="0" w:space="0" w:color="auto"/>
      </w:divBdr>
    </w:div>
    <w:div w:id="2022929127">
      <w:bodyDiv w:val="1"/>
      <w:marLeft w:val="0"/>
      <w:marRight w:val="0"/>
      <w:marTop w:val="0"/>
      <w:marBottom w:val="0"/>
      <w:divBdr>
        <w:top w:val="none" w:sz="0" w:space="0" w:color="auto"/>
        <w:left w:val="none" w:sz="0" w:space="0" w:color="auto"/>
        <w:bottom w:val="none" w:sz="0" w:space="0" w:color="auto"/>
        <w:right w:val="none" w:sz="0" w:space="0" w:color="auto"/>
      </w:divBdr>
    </w:div>
    <w:div w:id="2033920811">
      <w:bodyDiv w:val="1"/>
      <w:marLeft w:val="0"/>
      <w:marRight w:val="0"/>
      <w:marTop w:val="0"/>
      <w:marBottom w:val="0"/>
      <w:divBdr>
        <w:top w:val="none" w:sz="0" w:space="0" w:color="auto"/>
        <w:left w:val="none" w:sz="0" w:space="0" w:color="auto"/>
        <w:bottom w:val="none" w:sz="0" w:space="0" w:color="auto"/>
        <w:right w:val="none" w:sz="0" w:space="0" w:color="auto"/>
      </w:divBdr>
    </w:div>
    <w:div w:id="2058511522">
      <w:bodyDiv w:val="1"/>
      <w:marLeft w:val="0"/>
      <w:marRight w:val="0"/>
      <w:marTop w:val="0"/>
      <w:marBottom w:val="0"/>
      <w:divBdr>
        <w:top w:val="none" w:sz="0" w:space="0" w:color="auto"/>
        <w:left w:val="none" w:sz="0" w:space="0" w:color="auto"/>
        <w:bottom w:val="none" w:sz="0" w:space="0" w:color="auto"/>
        <w:right w:val="none" w:sz="0" w:space="0" w:color="auto"/>
      </w:divBdr>
    </w:div>
    <w:div w:id="2075349099">
      <w:bodyDiv w:val="1"/>
      <w:marLeft w:val="0"/>
      <w:marRight w:val="0"/>
      <w:marTop w:val="0"/>
      <w:marBottom w:val="0"/>
      <w:divBdr>
        <w:top w:val="none" w:sz="0" w:space="0" w:color="auto"/>
        <w:left w:val="none" w:sz="0" w:space="0" w:color="auto"/>
        <w:bottom w:val="none" w:sz="0" w:space="0" w:color="auto"/>
        <w:right w:val="none" w:sz="0" w:space="0" w:color="auto"/>
      </w:divBdr>
    </w:div>
    <w:div w:id="2099983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png"/><Relationship Id="rId47" Type="http://schemas.openxmlformats.org/officeDocument/2006/relationships/header" Target="header2.xml"/><Relationship Id="rId50" Type="http://schemas.openxmlformats.org/officeDocument/2006/relationships/image" Target="media/image38.emf"/><Relationship Id="rId55" Type="http://schemas.openxmlformats.org/officeDocument/2006/relationships/image" Target="media/image43.emf"/><Relationship Id="rId63" Type="http://schemas.openxmlformats.org/officeDocument/2006/relationships/image" Target="media/image51.emf"/><Relationship Id="rId68" Type="http://schemas.openxmlformats.org/officeDocument/2006/relationships/image" Target="media/image56.emf"/><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9.emf"/><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emf"/><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header" Target="header1.xml"/><Relationship Id="rId53" Type="http://schemas.openxmlformats.org/officeDocument/2006/relationships/image" Target="media/image41.emf"/><Relationship Id="rId58" Type="http://schemas.openxmlformats.org/officeDocument/2006/relationships/image" Target="media/image46.emf"/><Relationship Id="rId66" Type="http://schemas.openxmlformats.org/officeDocument/2006/relationships/image" Target="media/image54.emf"/><Relationship Id="rId7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37.emf"/><Relationship Id="rId57" Type="http://schemas.openxmlformats.org/officeDocument/2006/relationships/image" Target="media/image45.emf"/><Relationship Id="rId61" Type="http://schemas.openxmlformats.org/officeDocument/2006/relationships/image" Target="media/image49.emf"/><Relationship Id="rId10" Type="http://schemas.openxmlformats.org/officeDocument/2006/relationships/footer" Target="footer1.xml"/><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png"/><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image" Target="media/image53.emf"/><Relationship Id="rId73"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png"/><Relationship Id="rId48" Type="http://schemas.openxmlformats.org/officeDocument/2006/relationships/image" Target="media/image36.emf"/><Relationship Id="rId56" Type="http://schemas.openxmlformats.org/officeDocument/2006/relationships/image" Target="media/image44.emf"/><Relationship Id="rId64" Type="http://schemas.openxmlformats.org/officeDocument/2006/relationships/image" Target="media/image52.emf"/><Relationship Id="rId69" Type="http://schemas.openxmlformats.org/officeDocument/2006/relationships/image" Target="media/image57.emf"/><Relationship Id="rId8" Type="http://schemas.openxmlformats.org/officeDocument/2006/relationships/endnotes" Target="endnotes.xml"/><Relationship Id="rId51" Type="http://schemas.openxmlformats.org/officeDocument/2006/relationships/image" Target="media/image39.emf"/><Relationship Id="rId72" Type="http://schemas.openxmlformats.org/officeDocument/2006/relationships/image" Target="media/image60.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footer" Target="footer2.xml"/><Relationship Id="rId59" Type="http://schemas.openxmlformats.org/officeDocument/2006/relationships/image" Target="media/image47.emf"/><Relationship Id="rId67" Type="http://schemas.openxmlformats.org/officeDocument/2006/relationships/image" Target="media/image55.emf"/><Relationship Id="rId20" Type="http://schemas.openxmlformats.org/officeDocument/2006/relationships/image" Target="media/image11.emf"/><Relationship Id="rId41" Type="http://schemas.openxmlformats.org/officeDocument/2006/relationships/image" Target="media/image32.png"/><Relationship Id="rId54" Type="http://schemas.openxmlformats.org/officeDocument/2006/relationships/image" Target="media/image42.emf"/><Relationship Id="rId62" Type="http://schemas.openxmlformats.org/officeDocument/2006/relationships/image" Target="media/image50.emf"/><Relationship Id="rId70" Type="http://schemas.openxmlformats.org/officeDocument/2006/relationships/image" Target="media/image58.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9CF75046-993E-4CAD-9852-E474F4E50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42</Pages>
  <Words>5810</Words>
  <Characters>34114</Characters>
  <Application>Microsoft Office Word</Application>
  <DocSecurity>0</DocSecurity>
  <Lines>284</Lines>
  <Paragraphs>79</Paragraphs>
  <ScaleCrop>false</ScaleCrop>
  <HeadingPairs>
    <vt:vector size="2" baseType="variant">
      <vt:variant>
        <vt:lpstr>Titolo</vt:lpstr>
      </vt:variant>
      <vt:variant>
        <vt:i4>1</vt:i4>
      </vt:variant>
    </vt:vector>
  </HeadingPairs>
  <TitlesOfParts>
    <vt:vector size="1" baseType="lpstr">
      <vt:lpstr>ANCE</vt:lpstr>
    </vt:vector>
  </TitlesOfParts>
  <Company>Hewlett-Packard Company</Company>
  <LinksUpToDate>false</LinksUpToDate>
  <CharactersWithSpaces>39845</CharactersWithSpaces>
  <SharedDoc>false</SharedDoc>
  <HLinks>
    <vt:vector size="372" baseType="variant">
      <vt:variant>
        <vt:i4>7602215</vt:i4>
      </vt:variant>
      <vt:variant>
        <vt:i4>359</vt:i4>
      </vt:variant>
      <vt:variant>
        <vt:i4>0</vt:i4>
      </vt:variant>
      <vt:variant>
        <vt:i4>5</vt:i4>
      </vt:variant>
      <vt:variant>
        <vt:lpwstr>\\ancesrv07\econ_cos\OSSERVATORIO CONGIUNTURALE\2011\Dicembre  2011\Osservatorio dic2011_REV 8.doc</vt:lpwstr>
      </vt:variant>
      <vt:variant>
        <vt:lpwstr>_Toc311457552</vt:lpwstr>
      </vt:variant>
      <vt:variant>
        <vt:i4>1048626</vt:i4>
      </vt:variant>
      <vt:variant>
        <vt:i4>353</vt:i4>
      </vt:variant>
      <vt:variant>
        <vt:i4>0</vt:i4>
      </vt:variant>
      <vt:variant>
        <vt:i4>5</vt:i4>
      </vt:variant>
      <vt:variant>
        <vt:lpwstr/>
      </vt:variant>
      <vt:variant>
        <vt:lpwstr>_Toc311457551</vt:lpwstr>
      </vt:variant>
      <vt:variant>
        <vt:i4>1048626</vt:i4>
      </vt:variant>
      <vt:variant>
        <vt:i4>347</vt:i4>
      </vt:variant>
      <vt:variant>
        <vt:i4>0</vt:i4>
      </vt:variant>
      <vt:variant>
        <vt:i4>5</vt:i4>
      </vt:variant>
      <vt:variant>
        <vt:lpwstr/>
      </vt:variant>
      <vt:variant>
        <vt:lpwstr>_Toc311457550</vt:lpwstr>
      </vt:variant>
      <vt:variant>
        <vt:i4>1114162</vt:i4>
      </vt:variant>
      <vt:variant>
        <vt:i4>341</vt:i4>
      </vt:variant>
      <vt:variant>
        <vt:i4>0</vt:i4>
      </vt:variant>
      <vt:variant>
        <vt:i4>5</vt:i4>
      </vt:variant>
      <vt:variant>
        <vt:lpwstr/>
      </vt:variant>
      <vt:variant>
        <vt:lpwstr>_Toc311457549</vt:lpwstr>
      </vt:variant>
      <vt:variant>
        <vt:i4>1114162</vt:i4>
      </vt:variant>
      <vt:variant>
        <vt:i4>335</vt:i4>
      </vt:variant>
      <vt:variant>
        <vt:i4>0</vt:i4>
      </vt:variant>
      <vt:variant>
        <vt:i4>5</vt:i4>
      </vt:variant>
      <vt:variant>
        <vt:lpwstr/>
      </vt:variant>
      <vt:variant>
        <vt:lpwstr>_Toc311457548</vt:lpwstr>
      </vt:variant>
      <vt:variant>
        <vt:i4>1114162</vt:i4>
      </vt:variant>
      <vt:variant>
        <vt:i4>329</vt:i4>
      </vt:variant>
      <vt:variant>
        <vt:i4>0</vt:i4>
      </vt:variant>
      <vt:variant>
        <vt:i4>5</vt:i4>
      </vt:variant>
      <vt:variant>
        <vt:lpwstr/>
      </vt:variant>
      <vt:variant>
        <vt:lpwstr>_Toc311457547</vt:lpwstr>
      </vt:variant>
      <vt:variant>
        <vt:i4>1114162</vt:i4>
      </vt:variant>
      <vt:variant>
        <vt:i4>323</vt:i4>
      </vt:variant>
      <vt:variant>
        <vt:i4>0</vt:i4>
      </vt:variant>
      <vt:variant>
        <vt:i4>5</vt:i4>
      </vt:variant>
      <vt:variant>
        <vt:lpwstr/>
      </vt:variant>
      <vt:variant>
        <vt:lpwstr>_Toc311457546</vt:lpwstr>
      </vt:variant>
      <vt:variant>
        <vt:i4>1114162</vt:i4>
      </vt:variant>
      <vt:variant>
        <vt:i4>317</vt:i4>
      </vt:variant>
      <vt:variant>
        <vt:i4>0</vt:i4>
      </vt:variant>
      <vt:variant>
        <vt:i4>5</vt:i4>
      </vt:variant>
      <vt:variant>
        <vt:lpwstr/>
      </vt:variant>
      <vt:variant>
        <vt:lpwstr>_Toc311457545</vt:lpwstr>
      </vt:variant>
      <vt:variant>
        <vt:i4>1114162</vt:i4>
      </vt:variant>
      <vt:variant>
        <vt:i4>311</vt:i4>
      </vt:variant>
      <vt:variant>
        <vt:i4>0</vt:i4>
      </vt:variant>
      <vt:variant>
        <vt:i4>5</vt:i4>
      </vt:variant>
      <vt:variant>
        <vt:lpwstr/>
      </vt:variant>
      <vt:variant>
        <vt:lpwstr>_Toc311457544</vt:lpwstr>
      </vt:variant>
      <vt:variant>
        <vt:i4>1114162</vt:i4>
      </vt:variant>
      <vt:variant>
        <vt:i4>305</vt:i4>
      </vt:variant>
      <vt:variant>
        <vt:i4>0</vt:i4>
      </vt:variant>
      <vt:variant>
        <vt:i4>5</vt:i4>
      </vt:variant>
      <vt:variant>
        <vt:lpwstr/>
      </vt:variant>
      <vt:variant>
        <vt:lpwstr>_Toc311457543</vt:lpwstr>
      </vt:variant>
      <vt:variant>
        <vt:i4>1114162</vt:i4>
      </vt:variant>
      <vt:variant>
        <vt:i4>299</vt:i4>
      </vt:variant>
      <vt:variant>
        <vt:i4>0</vt:i4>
      </vt:variant>
      <vt:variant>
        <vt:i4>5</vt:i4>
      </vt:variant>
      <vt:variant>
        <vt:lpwstr/>
      </vt:variant>
      <vt:variant>
        <vt:lpwstr>_Toc311457542</vt:lpwstr>
      </vt:variant>
      <vt:variant>
        <vt:i4>1114162</vt:i4>
      </vt:variant>
      <vt:variant>
        <vt:i4>293</vt:i4>
      </vt:variant>
      <vt:variant>
        <vt:i4>0</vt:i4>
      </vt:variant>
      <vt:variant>
        <vt:i4>5</vt:i4>
      </vt:variant>
      <vt:variant>
        <vt:lpwstr/>
      </vt:variant>
      <vt:variant>
        <vt:lpwstr>_Toc311457541</vt:lpwstr>
      </vt:variant>
      <vt:variant>
        <vt:i4>1114162</vt:i4>
      </vt:variant>
      <vt:variant>
        <vt:i4>287</vt:i4>
      </vt:variant>
      <vt:variant>
        <vt:i4>0</vt:i4>
      </vt:variant>
      <vt:variant>
        <vt:i4>5</vt:i4>
      </vt:variant>
      <vt:variant>
        <vt:lpwstr/>
      </vt:variant>
      <vt:variant>
        <vt:lpwstr>_Toc311457540</vt:lpwstr>
      </vt:variant>
      <vt:variant>
        <vt:i4>1441842</vt:i4>
      </vt:variant>
      <vt:variant>
        <vt:i4>281</vt:i4>
      </vt:variant>
      <vt:variant>
        <vt:i4>0</vt:i4>
      </vt:variant>
      <vt:variant>
        <vt:i4>5</vt:i4>
      </vt:variant>
      <vt:variant>
        <vt:lpwstr/>
      </vt:variant>
      <vt:variant>
        <vt:lpwstr>_Toc311457539</vt:lpwstr>
      </vt:variant>
      <vt:variant>
        <vt:i4>1441842</vt:i4>
      </vt:variant>
      <vt:variant>
        <vt:i4>275</vt:i4>
      </vt:variant>
      <vt:variant>
        <vt:i4>0</vt:i4>
      </vt:variant>
      <vt:variant>
        <vt:i4>5</vt:i4>
      </vt:variant>
      <vt:variant>
        <vt:lpwstr/>
      </vt:variant>
      <vt:variant>
        <vt:lpwstr>_Toc311457538</vt:lpwstr>
      </vt:variant>
      <vt:variant>
        <vt:i4>1441842</vt:i4>
      </vt:variant>
      <vt:variant>
        <vt:i4>269</vt:i4>
      </vt:variant>
      <vt:variant>
        <vt:i4>0</vt:i4>
      </vt:variant>
      <vt:variant>
        <vt:i4>5</vt:i4>
      </vt:variant>
      <vt:variant>
        <vt:lpwstr/>
      </vt:variant>
      <vt:variant>
        <vt:lpwstr>_Toc311457537</vt:lpwstr>
      </vt:variant>
      <vt:variant>
        <vt:i4>1441842</vt:i4>
      </vt:variant>
      <vt:variant>
        <vt:i4>263</vt:i4>
      </vt:variant>
      <vt:variant>
        <vt:i4>0</vt:i4>
      </vt:variant>
      <vt:variant>
        <vt:i4>5</vt:i4>
      </vt:variant>
      <vt:variant>
        <vt:lpwstr/>
      </vt:variant>
      <vt:variant>
        <vt:lpwstr>_Toc311457536</vt:lpwstr>
      </vt:variant>
      <vt:variant>
        <vt:i4>1441842</vt:i4>
      </vt:variant>
      <vt:variant>
        <vt:i4>257</vt:i4>
      </vt:variant>
      <vt:variant>
        <vt:i4>0</vt:i4>
      </vt:variant>
      <vt:variant>
        <vt:i4>5</vt:i4>
      </vt:variant>
      <vt:variant>
        <vt:lpwstr/>
      </vt:variant>
      <vt:variant>
        <vt:lpwstr>_Toc311457535</vt:lpwstr>
      </vt:variant>
      <vt:variant>
        <vt:i4>1441842</vt:i4>
      </vt:variant>
      <vt:variant>
        <vt:i4>251</vt:i4>
      </vt:variant>
      <vt:variant>
        <vt:i4>0</vt:i4>
      </vt:variant>
      <vt:variant>
        <vt:i4>5</vt:i4>
      </vt:variant>
      <vt:variant>
        <vt:lpwstr/>
      </vt:variant>
      <vt:variant>
        <vt:lpwstr>_Toc311457534</vt:lpwstr>
      </vt:variant>
      <vt:variant>
        <vt:i4>1441842</vt:i4>
      </vt:variant>
      <vt:variant>
        <vt:i4>245</vt:i4>
      </vt:variant>
      <vt:variant>
        <vt:i4>0</vt:i4>
      </vt:variant>
      <vt:variant>
        <vt:i4>5</vt:i4>
      </vt:variant>
      <vt:variant>
        <vt:lpwstr/>
      </vt:variant>
      <vt:variant>
        <vt:lpwstr>_Toc311457533</vt:lpwstr>
      </vt:variant>
      <vt:variant>
        <vt:i4>1441842</vt:i4>
      </vt:variant>
      <vt:variant>
        <vt:i4>239</vt:i4>
      </vt:variant>
      <vt:variant>
        <vt:i4>0</vt:i4>
      </vt:variant>
      <vt:variant>
        <vt:i4>5</vt:i4>
      </vt:variant>
      <vt:variant>
        <vt:lpwstr/>
      </vt:variant>
      <vt:variant>
        <vt:lpwstr>_Toc311457532</vt:lpwstr>
      </vt:variant>
      <vt:variant>
        <vt:i4>1441842</vt:i4>
      </vt:variant>
      <vt:variant>
        <vt:i4>233</vt:i4>
      </vt:variant>
      <vt:variant>
        <vt:i4>0</vt:i4>
      </vt:variant>
      <vt:variant>
        <vt:i4>5</vt:i4>
      </vt:variant>
      <vt:variant>
        <vt:lpwstr/>
      </vt:variant>
      <vt:variant>
        <vt:lpwstr>_Toc311457531</vt:lpwstr>
      </vt:variant>
      <vt:variant>
        <vt:i4>1441842</vt:i4>
      </vt:variant>
      <vt:variant>
        <vt:i4>227</vt:i4>
      </vt:variant>
      <vt:variant>
        <vt:i4>0</vt:i4>
      </vt:variant>
      <vt:variant>
        <vt:i4>5</vt:i4>
      </vt:variant>
      <vt:variant>
        <vt:lpwstr/>
      </vt:variant>
      <vt:variant>
        <vt:lpwstr>_Toc311457530</vt:lpwstr>
      </vt:variant>
      <vt:variant>
        <vt:i4>1507378</vt:i4>
      </vt:variant>
      <vt:variant>
        <vt:i4>221</vt:i4>
      </vt:variant>
      <vt:variant>
        <vt:i4>0</vt:i4>
      </vt:variant>
      <vt:variant>
        <vt:i4>5</vt:i4>
      </vt:variant>
      <vt:variant>
        <vt:lpwstr/>
      </vt:variant>
      <vt:variant>
        <vt:lpwstr>_Toc311457529</vt:lpwstr>
      </vt:variant>
      <vt:variant>
        <vt:i4>1507378</vt:i4>
      </vt:variant>
      <vt:variant>
        <vt:i4>215</vt:i4>
      </vt:variant>
      <vt:variant>
        <vt:i4>0</vt:i4>
      </vt:variant>
      <vt:variant>
        <vt:i4>5</vt:i4>
      </vt:variant>
      <vt:variant>
        <vt:lpwstr/>
      </vt:variant>
      <vt:variant>
        <vt:lpwstr>_Toc311457528</vt:lpwstr>
      </vt:variant>
      <vt:variant>
        <vt:i4>1507378</vt:i4>
      </vt:variant>
      <vt:variant>
        <vt:i4>209</vt:i4>
      </vt:variant>
      <vt:variant>
        <vt:i4>0</vt:i4>
      </vt:variant>
      <vt:variant>
        <vt:i4>5</vt:i4>
      </vt:variant>
      <vt:variant>
        <vt:lpwstr/>
      </vt:variant>
      <vt:variant>
        <vt:lpwstr>_Toc311457527</vt:lpwstr>
      </vt:variant>
      <vt:variant>
        <vt:i4>1507378</vt:i4>
      </vt:variant>
      <vt:variant>
        <vt:i4>203</vt:i4>
      </vt:variant>
      <vt:variant>
        <vt:i4>0</vt:i4>
      </vt:variant>
      <vt:variant>
        <vt:i4>5</vt:i4>
      </vt:variant>
      <vt:variant>
        <vt:lpwstr/>
      </vt:variant>
      <vt:variant>
        <vt:lpwstr>_Toc311457526</vt:lpwstr>
      </vt:variant>
      <vt:variant>
        <vt:i4>1507378</vt:i4>
      </vt:variant>
      <vt:variant>
        <vt:i4>197</vt:i4>
      </vt:variant>
      <vt:variant>
        <vt:i4>0</vt:i4>
      </vt:variant>
      <vt:variant>
        <vt:i4>5</vt:i4>
      </vt:variant>
      <vt:variant>
        <vt:lpwstr/>
      </vt:variant>
      <vt:variant>
        <vt:lpwstr>_Toc311457525</vt:lpwstr>
      </vt:variant>
      <vt:variant>
        <vt:i4>1507378</vt:i4>
      </vt:variant>
      <vt:variant>
        <vt:i4>191</vt:i4>
      </vt:variant>
      <vt:variant>
        <vt:i4>0</vt:i4>
      </vt:variant>
      <vt:variant>
        <vt:i4>5</vt:i4>
      </vt:variant>
      <vt:variant>
        <vt:lpwstr/>
      </vt:variant>
      <vt:variant>
        <vt:lpwstr>_Toc311457524</vt:lpwstr>
      </vt:variant>
      <vt:variant>
        <vt:i4>1507378</vt:i4>
      </vt:variant>
      <vt:variant>
        <vt:i4>185</vt:i4>
      </vt:variant>
      <vt:variant>
        <vt:i4>0</vt:i4>
      </vt:variant>
      <vt:variant>
        <vt:i4>5</vt:i4>
      </vt:variant>
      <vt:variant>
        <vt:lpwstr/>
      </vt:variant>
      <vt:variant>
        <vt:lpwstr>_Toc311457523</vt:lpwstr>
      </vt:variant>
      <vt:variant>
        <vt:i4>1507378</vt:i4>
      </vt:variant>
      <vt:variant>
        <vt:i4>179</vt:i4>
      </vt:variant>
      <vt:variant>
        <vt:i4>0</vt:i4>
      </vt:variant>
      <vt:variant>
        <vt:i4>5</vt:i4>
      </vt:variant>
      <vt:variant>
        <vt:lpwstr/>
      </vt:variant>
      <vt:variant>
        <vt:lpwstr>_Toc311457522</vt:lpwstr>
      </vt:variant>
      <vt:variant>
        <vt:i4>1507378</vt:i4>
      </vt:variant>
      <vt:variant>
        <vt:i4>173</vt:i4>
      </vt:variant>
      <vt:variant>
        <vt:i4>0</vt:i4>
      </vt:variant>
      <vt:variant>
        <vt:i4>5</vt:i4>
      </vt:variant>
      <vt:variant>
        <vt:lpwstr/>
      </vt:variant>
      <vt:variant>
        <vt:lpwstr>_Toc311457521</vt:lpwstr>
      </vt:variant>
      <vt:variant>
        <vt:i4>1507378</vt:i4>
      </vt:variant>
      <vt:variant>
        <vt:i4>167</vt:i4>
      </vt:variant>
      <vt:variant>
        <vt:i4>0</vt:i4>
      </vt:variant>
      <vt:variant>
        <vt:i4>5</vt:i4>
      </vt:variant>
      <vt:variant>
        <vt:lpwstr/>
      </vt:variant>
      <vt:variant>
        <vt:lpwstr>_Toc311457520</vt:lpwstr>
      </vt:variant>
      <vt:variant>
        <vt:i4>1310770</vt:i4>
      </vt:variant>
      <vt:variant>
        <vt:i4>161</vt:i4>
      </vt:variant>
      <vt:variant>
        <vt:i4>0</vt:i4>
      </vt:variant>
      <vt:variant>
        <vt:i4>5</vt:i4>
      </vt:variant>
      <vt:variant>
        <vt:lpwstr/>
      </vt:variant>
      <vt:variant>
        <vt:lpwstr>_Toc311457519</vt:lpwstr>
      </vt:variant>
      <vt:variant>
        <vt:i4>1310770</vt:i4>
      </vt:variant>
      <vt:variant>
        <vt:i4>155</vt:i4>
      </vt:variant>
      <vt:variant>
        <vt:i4>0</vt:i4>
      </vt:variant>
      <vt:variant>
        <vt:i4>5</vt:i4>
      </vt:variant>
      <vt:variant>
        <vt:lpwstr/>
      </vt:variant>
      <vt:variant>
        <vt:lpwstr>_Toc311457518</vt:lpwstr>
      </vt:variant>
      <vt:variant>
        <vt:i4>1310770</vt:i4>
      </vt:variant>
      <vt:variant>
        <vt:i4>149</vt:i4>
      </vt:variant>
      <vt:variant>
        <vt:i4>0</vt:i4>
      </vt:variant>
      <vt:variant>
        <vt:i4>5</vt:i4>
      </vt:variant>
      <vt:variant>
        <vt:lpwstr/>
      </vt:variant>
      <vt:variant>
        <vt:lpwstr>_Toc311457517</vt:lpwstr>
      </vt:variant>
      <vt:variant>
        <vt:i4>1310770</vt:i4>
      </vt:variant>
      <vt:variant>
        <vt:i4>143</vt:i4>
      </vt:variant>
      <vt:variant>
        <vt:i4>0</vt:i4>
      </vt:variant>
      <vt:variant>
        <vt:i4>5</vt:i4>
      </vt:variant>
      <vt:variant>
        <vt:lpwstr/>
      </vt:variant>
      <vt:variant>
        <vt:lpwstr>_Toc311457516</vt:lpwstr>
      </vt:variant>
      <vt:variant>
        <vt:i4>1310770</vt:i4>
      </vt:variant>
      <vt:variant>
        <vt:i4>137</vt:i4>
      </vt:variant>
      <vt:variant>
        <vt:i4>0</vt:i4>
      </vt:variant>
      <vt:variant>
        <vt:i4>5</vt:i4>
      </vt:variant>
      <vt:variant>
        <vt:lpwstr/>
      </vt:variant>
      <vt:variant>
        <vt:lpwstr>_Toc311457515</vt:lpwstr>
      </vt:variant>
      <vt:variant>
        <vt:i4>1310770</vt:i4>
      </vt:variant>
      <vt:variant>
        <vt:i4>131</vt:i4>
      </vt:variant>
      <vt:variant>
        <vt:i4>0</vt:i4>
      </vt:variant>
      <vt:variant>
        <vt:i4>5</vt:i4>
      </vt:variant>
      <vt:variant>
        <vt:lpwstr/>
      </vt:variant>
      <vt:variant>
        <vt:lpwstr>_Toc311457514</vt:lpwstr>
      </vt:variant>
      <vt:variant>
        <vt:i4>1310770</vt:i4>
      </vt:variant>
      <vt:variant>
        <vt:i4>125</vt:i4>
      </vt:variant>
      <vt:variant>
        <vt:i4>0</vt:i4>
      </vt:variant>
      <vt:variant>
        <vt:i4>5</vt:i4>
      </vt:variant>
      <vt:variant>
        <vt:lpwstr/>
      </vt:variant>
      <vt:variant>
        <vt:lpwstr>_Toc311457513</vt:lpwstr>
      </vt:variant>
      <vt:variant>
        <vt:i4>1310770</vt:i4>
      </vt:variant>
      <vt:variant>
        <vt:i4>119</vt:i4>
      </vt:variant>
      <vt:variant>
        <vt:i4>0</vt:i4>
      </vt:variant>
      <vt:variant>
        <vt:i4>5</vt:i4>
      </vt:variant>
      <vt:variant>
        <vt:lpwstr/>
      </vt:variant>
      <vt:variant>
        <vt:lpwstr>_Toc311457512</vt:lpwstr>
      </vt:variant>
      <vt:variant>
        <vt:i4>1310770</vt:i4>
      </vt:variant>
      <vt:variant>
        <vt:i4>113</vt:i4>
      </vt:variant>
      <vt:variant>
        <vt:i4>0</vt:i4>
      </vt:variant>
      <vt:variant>
        <vt:i4>5</vt:i4>
      </vt:variant>
      <vt:variant>
        <vt:lpwstr/>
      </vt:variant>
      <vt:variant>
        <vt:lpwstr>_Toc311457511</vt:lpwstr>
      </vt:variant>
      <vt:variant>
        <vt:i4>1310770</vt:i4>
      </vt:variant>
      <vt:variant>
        <vt:i4>107</vt:i4>
      </vt:variant>
      <vt:variant>
        <vt:i4>0</vt:i4>
      </vt:variant>
      <vt:variant>
        <vt:i4>5</vt:i4>
      </vt:variant>
      <vt:variant>
        <vt:lpwstr/>
      </vt:variant>
      <vt:variant>
        <vt:lpwstr>_Toc311457510</vt:lpwstr>
      </vt:variant>
      <vt:variant>
        <vt:i4>1376306</vt:i4>
      </vt:variant>
      <vt:variant>
        <vt:i4>101</vt:i4>
      </vt:variant>
      <vt:variant>
        <vt:i4>0</vt:i4>
      </vt:variant>
      <vt:variant>
        <vt:i4>5</vt:i4>
      </vt:variant>
      <vt:variant>
        <vt:lpwstr/>
      </vt:variant>
      <vt:variant>
        <vt:lpwstr>_Toc311457509</vt:lpwstr>
      </vt:variant>
      <vt:variant>
        <vt:i4>1376306</vt:i4>
      </vt:variant>
      <vt:variant>
        <vt:i4>95</vt:i4>
      </vt:variant>
      <vt:variant>
        <vt:i4>0</vt:i4>
      </vt:variant>
      <vt:variant>
        <vt:i4>5</vt:i4>
      </vt:variant>
      <vt:variant>
        <vt:lpwstr/>
      </vt:variant>
      <vt:variant>
        <vt:lpwstr>_Toc311457508</vt:lpwstr>
      </vt:variant>
      <vt:variant>
        <vt:i4>1376306</vt:i4>
      </vt:variant>
      <vt:variant>
        <vt:i4>89</vt:i4>
      </vt:variant>
      <vt:variant>
        <vt:i4>0</vt:i4>
      </vt:variant>
      <vt:variant>
        <vt:i4>5</vt:i4>
      </vt:variant>
      <vt:variant>
        <vt:lpwstr/>
      </vt:variant>
      <vt:variant>
        <vt:lpwstr>_Toc311457507</vt:lpwstr>
      </vt:variant>
      <vt:variant>
        <vt:i4>1376306</vt:i4>
      </vt:variant>
      <vt:variant>
        <vt:i4>83</vt:i4>
      </vt:variant>
      <vt:variant>
        <vt:i4>0</vt:i4>
      </vt:variant>
      <vt:variant>
        <vt:i4>5</vt:i4>
      </vt:variant>
      <vt:variant>
        <vt:lpwstr/>
      </vt:variant>
      <vt:variant>
        <vt:lpwstr>_Toc311457506</vt:lpwstr>
      </vt:variant>
      <vt:variant>
        <vt:i4>1376306</vt:i4>
      </vt:variant>
      <vt:variant>
        <vt:i4>77</vt:i4>
      </vt:variant>
      <vt:variant>
        <vt:i4>0</vt:i4>
      </vt:variant>
      <vt:variant>
        <vt:i4>5</vt:i4>
      </vt:variant>
      <vt:variant>
        <vt:lpwstr/>
      </vt:variant>
      <vt:variant>
        <vt:lpwstr>_Toc311457505</vt:lpwstr>
      </vt:variant>
      <vt:variant>
        <vt:i4>1376306</vt:i4>
      </vt:variant>
      <vt:variant>
        <vt:i4>71</vt:i4>
      </vt:variant>
      <vt:variant>
        <vt:i4>0</vt:i4>
      </vt:variant>
      <vt:variant>
        <vt:i4>5</vt:i4>
      </vt:variant>
      <vt:variant>
        <vt:lpwstr/>
      </vt:variant>
      <vt:variant>
        <vt:lpwstr>_Toc311457504</vt:lpwstr>
      </vt:variant>
      <vt:variant>
        <vt:i4>1376306</vt:i4>
      </vt:variant>
      <vt:variant>
        <vt:i4>65</vt:i4>
      </vt:variant>
      <vt:variant>
        <vt:i4>0</vt:i4>
      </vt:variant>
      <vt:variant>
        <vt:i4>5</vt:i4>
      </vt:variant>
      <vt:variant>
        <vt:lpwstr/>
      </vt:variant>
      <vt:variant>
        <vt:lpwstr>_Toc311457503</vt:lpwstr>
      </vt:variant>
      <vt:variant>
        <vt:i4>1376306</vt:i4>
      </vt:variant>
      <vt:variant>
        <vt:i4>59</vt:i4>
      </vt:variant>
      <vt:variant>
        <vt:i4>0</vt:i4>
      </vt:variant>
      <vt:variant>
        <vt:i4>5</vt:i4>
      </vt:variant>
      <vt:variant>
        <vt:lpwstr/>
      </vt:variant>
      <vt:variant>
        <vt:lpwstr>_Toc311457502</vt:lpwstr>
      </vt:variant>
      <vt:variant>
        <vt:i4>1376306</vt:i4>
      </vt:variant>
      <vt:variant>
        <vt:i4>53</vt:i4>
      </vt:variant>
      <vt:variant>
        <vt:i4>0</vt:i4>
      </vt:variant>
      <vt:variant>
        <vt:i4>5</vt:i4>
      </vt:variant>
      <vt:variant>
        <vt:lpwstr/>
      </vt:variant>
      <vt:variant>
        <vt:lpwstr>_Toc311457501</vt:lpwstr>
      </vt:variant>
      <vt:variant>
        <vt:i4>1376306</vt:i4>
      </vt:variant>
      <vt:variant>
        <vt:i4>47</vt:i4>
      </vt:variant>
      <vt:variant>
        <vt:i4>0</vt:i4>
      </vt:variant>
      <vt:variant>
        <vt:i4>5</vt:i4>
      </vt:variant>
      <vt:variant>
        <vt:lpwstr/>
      </vt:variant>
      <vt:variant>
        <vt:lpwstr>_Toc311457500</vt:lpwstr>
      </vt:variant>
      <vt:variant>
        <vt:i4>1835059</vt:i4>
      </vt:variant>
      <vt:variant>
        <vt:i4>41</vt:i4>
      </vt:variant>
      <vt:variant>
        <vt:i4>0</vt:i4>
      </vt:variant>
      <vt:variant>
        <vt:i4>5</vt:i4>
      </vt:variant>
      <vt:variant>
        <vt:lpwstr/>
      </vt:variant>
      <vt:variant>
        <vt:lpwstr>_Toc311457499</vt:lpwstr>
      </vt:variant>
      <vt:variant>
        <vt:i4>1835059</vt:i4>
      </vt:variant>
      <vt:variant>
        <vt:i4>35</vt:i4>
      </vt:variant>
      <vt:variant>
        <vt:i4>0</vt:i4>
      </vt:variant>
      <vt:variant>
        <vt:i4>5</vt:i4>
      </vt:variant>
      <vt:variant>
        <vt:lpwstr/>
      </vt:variant>
      <vt:variant>
        <vt:lpwstr>_Toc311457498</vt:lpwstr>
      </vt:variant>
      <vt:variant>
        <vt:i4>1835059</vt:i4>
      </vt:variant>
      <vt:variant>
        <vt:i4>29</vt:i4>
      </vt:variant>
      <vt:variant>
        <vt:i4>0</vt:i4>
      </vt:variant>
      <vt:variant>
        <vt:i4>5</vt:i4>
      </vt:variant>
      <vt:variant>
        <vt:lpwstr/>
      </vt:variant>
      <vt:variant>
        <vt:lpwstr>_Toc311457497</vt:lpwstr>
      </vt:variant>
      <vt:variant>
        <vt:i4>1835059</vt:i4>
      </vt:variant>
      <vt:variant>
        <vt:i4>23</vt:i4>
      </vt:variant>
      <vt:variant>
        <vt:i4>0</vt:i4>
      </vt:variant>
      <vt:variant>
        <vt:i4>5</vt:i4>
      </vt:variant>
      <vt:variant>
        <vt:lpwstr/>
      </vt:variant>
      <vt:variant>
        <vt:lpwstr>_Toc311457496</vt:lpwstr>
      </vt:variant>
      <vt:variant>
        <vt:i4>1835059</vt:i4>
      </vt:variant>
      <vt:variant>
        <vt:i4>17</vt:i4>
      </vt:variant>
      <vt:variant>
        <vt:i4>0</vt:i4>
      </vt:variant>
      <vt:variant>
        <vt:i4>5</vt:i4>
      </vt:variant>
      <vt:variant>
        <vt:lpwstr/>
      </vt:variant>
      <vt:variant>
        <vt:lpwstr>_Toc311457495</vt:lpwstr>
      </vt:variant>
      <vt:variant>
        <vt:i4>1835059</vt:i4>
      </vt:variant>
      <vt:variant>
        <vt:i4>11</vt:i4>
      </vt:variant>
      <vt:variant>
        <vt:i4>0</vt:i4>
      </vt:variant>
      <vt:variant>
        <vt:i4>5</vt:i4>
      </vt:variant>
      <vt:variant>
        <vt:lpwstr/>
      </vt:variant>
      <vt:variant>
        <vt:lpwstr>_Toc311457494</vt:lpwstr>
      </vt:variant>
      <vt:variant>
        <vt:i4>6488131</vt:i4>
      </vt:variant>
      <vt:variant>
        <vt:i4>6</vt:i4>
      </vt:variant>
      <vt:variant>
        <vt:i4>0</vt:i4>
      </vt:variant>
      <vt:variant>
        <vt:i4>5</vt:i4>
      </vt:variant>
      <vt:variant>
        <vt:lpwstr>mailto:edilst@rdn.it</vt:lpwstr>
      </vt:variant>
      <vt:variant>
        <vt:lpwstr/>
      </vt:variant>
      <vt:variant>
        <vt:i4>7536690</vt:i4>
      </vt:variant>
      <vt:variant>
        <vt:i4>3</vt:i4>
      </vt:variant>
      <vt:variant>
        <vt:i4>0</vt:i4>
      </vt:variant>
      <vt:variant>
        <vt:i4>5</vt:i4>
      </vt:variant>
      <vt:variant>
        <vt:lpwstr>http://www.ance.it/</vt:lpwstr>
      </vt:variant>
      <vt:variant>
        <vt:lpwstr/>
      </vt:variant>
      <vt:variant>
        <vt:i4>2752517</vt:i4>
      </vt:variant>
      <vt:variant>
        <vt:i4>0</vt:i4>
      </vt:variant>
      <vt:variant>
        <vt:i4>0</vt:i4>
      </vt:variant>
      <vt:variant>
        <vt:i4>5</vt:i4>
      </vt:variant>
      <vt:variant>
        <vt:lpwstr>mailto:Affarieconomici@ance.it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ANCE</dc:title>
  <dc:creator>RanieriB</dc:creator>
  <cp:lastModifiedBy>Ranieri Beatrice</cp:lastModifiedBy>
  <cp:revision>15</cp:revision>
  <cp:lastPrinted>2015-06-04T09:33:00Z</cp:lastPrinted>
  <dcterms:created xsi:type="dcterms:W3CDTF">2015-06-04T08:21:00Z</dcterms:created>
  <dcterms:modified xsi:type="dcterms:W3CDTF">2015-06-04T09:38:00Z</dcterms:modified>
</cp:coreProperties>
</file>